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宋体" w:eastAsia="方正小标宋_GBK"/>
          <w:sz w:val="44"/>
          <w:szCs w:val="44"/>
        </w:rPr>
      </w:pPr>
      <w:bookmarkStart w:id="0" w:name="_Hlk97806973"/>
    </w:p>
    <w:p>
      <w:pPr>
        <w:jc w:val="center"/>
        <w:rPr>
          <w:rFonts w:ascii="方正小标宋_GBK" w:hAnsi="宋体" w:eastAsia="方正小标宋_GBK"/>
          <w:sz w:val="44"/>
          <w:szCs w:val="44"/>
        </w:rPr>
      </w:pPr>
    </w:p>
    <w:p>
      <w:pPr>
        <w:jc w:val="center"/>
        <w:rPr>
          <w:rFonts w:ascii="方正小标宋_GBK" w:hAnsi="宋体" w:eastAsia="方正小标宋_GBK"/>
          <w:sz w:val="44"/>
          <w:szCs w:val="44"/>
        </w:rPr>
      </w:pPr>
    </w:p>
    <w:p>
      <w:pPr>
        <w:jc w:val="center"/>
        <w:rPr>
          <w:rFonts w:ascii="方正小标宋_GBK" w:hAnsi="宋体" w:eastAsia="方正小标宋_GBK"/>
          <w:sz w:val="44"/>
          <w:szCs w:val="44"/>
        </w:rPr>
      </w:pPr>
    </w:p>
    <w:p>
      <w:pPr>
        <w:jc w:val="center"/>
        <w:rPr>
          <w:rFonts w:hint="eastAsia" w:ascii="方正小标宋_GBK" w:hAnsi="宋体" w:eastAsia="方正小标宋_GBK"/>
          <w:sz w:val="44"/>
          <w:szCs w:val="44"/>
        </w:rPr>
      </w:pPr>
      <w:r>
        <w:rPr>
          <w:rFonts w:hint="eastAsia" w:ascii="方正小标宋_GBK" w:hAnsi="宋体" w:eastAsia="方正小标宋_GBK"/>
          <w:sz w:val="44"/>
          <w:szCs w:val="44"/>
        </w:rPr>
        <w:t>新疆维吾尔自治区人民代表大会常务委员会办公厅</w:t>
      </w:r>
      <w:r>
        <w:rPr>
          <w:rFonts w:hint="eastAsia" w:ascii="方正小标宋_GBK" w:hAnsi="宋体" w:eastAsia="方正小标宋_GBK"/>
          <w:sz w:val="44"/>
          <w:szCs w:val="44"/>
          <w:lang w:eastAsia="zh-CN"/>
        </w:rPr>
        <w:t>（</w:t>
      </w:r>
      <w:r>
        <w:rPr>
          <w:rFonts w:hint="eastAsia" w:ascii="方正小标宋_GBK" w:hAnsi="宋体" w:eastAsia="方正小标宋_GBK"/>
          <w:sz w:val="44"/>
          <w:szCs w:val="44"/>
        </w:rPr>
        <w:t>本级</w:t>
      </w:r>
      <w:r>
        <w:rPr>
          <w:rFonts w:hint="eastAsia" w:ascii="方正小标宋_GBK" w:hAnsi="宋体" w:eastAsia="方正小标宋_GBK"/>
          <w:sz w:val="44"/>
          <w:szCs w:val="44"/>
          <w:lang w:eastAsia="zh-CN"/>
        </w:rPr>
        <w:t>）</w:t>
      </w:r>
      <w:r>
        <w:rPr>
          <w:rFonts w:hint="eastAsia" w:ascii="方正小标宋_GBK" w:hAnsi="宋体" w:eastAsia="方正小标宋_GBK"/>
          <w:sz w:val="44"/>
          <w:szCs w:val="44"/>
        </w:rPr>
        <w:t>2021年度部门决算</w:t>
      </w:r>
    </w:p>
    <w:p>
      <w:pPr>
        <w:jc w:val="center"/>
        <w:rPr>
          <w:rFonts w:ascii="方正小标宋_GBK" w:hAnsi="宋体" w:eastAsia="方正小标宋_GBK"/>
          <w:sz w:val="44"/>
          <w:szCs w:val="44"/>
        </w:rPr>
      </w:pPr>
      <w:r>
        <w:rPr>
          <w:rFonts w:hint="eastAsia" w:ascii="方正小标宋_GBK" w:hAnsi="宋体" w:eastAsia="方正小标宋_GBK"/>
          <w:sz w:val="44"/>
          <w:szCs w:val="44"/>
        </w:rPr>
        <w:t>公开说明</w:t>
      </w:r>
    </w:p>
    <w:p>
      <w:pPr>
        <w:jc w:val="center"/>
        <w:rPr>
          <w:rFonts w:ascii="仿宋_GB2312" w:hAnsi="仿宋_GB2312" w:eastAsia="仿宋_GB2312" w:cs="仿宋_GB2312"/>
          <w:bCs/>
          <w:kern w:val="0"/>
          <w:sz w:val="32"/>
          <w:szCs w:val="32"/>
        </w:rPr>
      </w:pPr>
      <w:r>
        <w:rPr>
          <w:rFonts w:hint="eastAsia" w:ascii="方正小标宋_GBK" w:hAnsi="宋体" w:eastAsia="方正小标宋_GBK"/>
          <w:sz w:val="44"/>
          <w:szCs w:val="44"/>
        </w:rPr>
        <w:br w:type="page"/>
      </w:r>
      <w:r>
        <w:rPr>
          <w:rFonts w:hint="eastAsia" w:ascii="仿宋_GB2312" w:hAnsi="仿宋_GB2312" w:eastAsia="仿宋_GB2312" w:cs="仿宋_GB2312"/>
          <w:b/>
          <w:kern w:val="0"/>
          <w:sz w:val="36"/>
          <w:szCs w:val="36"/>
        </w:rPr>
        <w:t>目录</w:t>
      </w:r>
    </w:p>
    <w:p>
      <w:pPr>
        <w:pStyle w:val="7"/>
        <w:tabs>
          <w:tab w:val="right" w:pos="8306"/>
        </w:tabs>
        <w:rPr>
          <w:rFonts w:ascii="仿宋_GB2312" w:hAnsi="仿宋_GB2312" w:eastAsia="仿宋_GB2312" w:cs="仿宋_GB2312"/>
          <w:b/>
          <w:bCs/>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"1-3" \n  \h \u </w:instrText>
      </w:r>
      <w:r>
        <w:rPr>
          <w:rFonts w:hint="eastAsia" w:ascii="仿宋_GB2312" w:hAnsi="仿宋_GB2312" w:eastAsia="仿宋_GB2312" w:cs="仿宋_GB2312"/>
          <w:sz w:val="32"/>
          <w:szCs w:val="32"/>
        </w:rPr>
        <w:fldChar w:fldCharType="separate"/>
      </w:r>
      <w:r>
        <w:fldChar w:fldCharType="begin"/>
      </w:r>
      <w:r>
        <w:instrText xml:space="preserve"> HYPERLINK \l "_Toc32314" </w:instrText>
      </w:r>
      <w:r>
        <w:fldChar w:fldCharType="separate"/>
      </w:r>
      <w:r>
        <w:rPr>
          <w:rFonts w:hint="eastAsia" w:ascii="仿宋_GB2312" w:hAnsi="仿宋_GB2312" w:eastAsia="仿宋_GB2312" w:cs="仿宋_GB2312"/>
          <w:b/>
          <w:bCs/>
          <w:sz w:val="32"/>
          <w:szCs w:val="32"/>
        </w:rPr>
        <w:t>第一部分部门单位概况</w:t>
      </w:r>
      <w:r>
        <w:rPr>
          <w:rFonts w:hint="eastAsia" w:ascii="仿宋_GB2312" w:hAnsi="仿宋_GB2312" w:eastAsia="仿宋_GB2312" w:cs="仿宋_GB2312"/>
          <w:b/>
          <w:bCs/>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"_Toc30567" </w:instrText>
      </w:r>
      <w:r>
        <w:fldChar w:fldCharType="separate"/>
      </w:r>
      <w:r>
        <w:rPr>
          <w:rFonts w:hint="eastAsia" w:ascii="仿宋_GB2312" w:hAnsi="仿宋_GB2312" w:eastAsia="仿宋_GB2312" w:cs="仿宋_GB2312"/>
          <w:bCs/>
          <w:kern w:val="0"/>
          <w:sz w:val="32"/>
          <w:szCs w:val="32"/>
        </w:rPr>
        <w:t>一、主要职能</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"_Toc2151" </w:instrText>
      </w:r>
      <w:r>
        <w:fldChar w:fldCharType="separate"/>
      </w:r>
      <w:r>
        <w:rPr>
          <w:rFonts w:hint="eastAsia" w:ascii="仿宋_GB2312" w:hAnsi="仿宋_GB2312" w:eastAsia="仿宋_GB2312" w:cs="仿宋_GB2312"/>
          <w:bCs/>
          <w:kern w:val="0"/>
          <w:sz w:val="32"/>
          <w:szCs w:val="32"/>
        </w:rPr>
        <w:t>二、机构设置及人员情况</w:t>
      </w:r>
      <w:r>
        <w:rPr>
          <w:rFonts w:hint="eastAsia" w:ascii="仿宋_GB2312" w:hAnsi="仿宋_GB2312" w:eastAsia="仿宋_GB2312" w:cs="仿宋_GB2312"/>
          <w:bCs/>
          <w:kern w:val="0"/>
          <w:sz w:val="32"/>
          <w:szCs w:val="32"/>
        </w:rPr>
        <w:fldChar w:fldCharType="end"/>
      </w:r>
    </w:p>
    <w:p>
      <w:pPr>
        <w:pStyle w:val="7"/>
        <w:tabs>
          <w:tab w:val="right" w:pos="8306"/>
        </w:tabs>
        <w:rPr>
          <w:rFonts w:ascii="仿宋_GB2312" w:hAnsi="仿宋_GB2312" w:eastAsia="仿宋_GB2312" w:cs="仿宋_GB2312"/>
          <w:b/>
          <w:bCs/>
          <w:sz w:val="32"/>
          <w:szCs w:val="32"/>
        </w:rPr>
      </w:pPr>
      <w:r>
        <w:fldChar w:fldCharType="begin"/>
      </w:r>
      <w:r>
        <w:instrText xml:space="preserve"> HYPERLINK \l "_Toc29374" </w:instrText>
      </w:r>
      <w:r>
        <w:fldChar w:fldCharType="separate"/>
      </w:r>
      <w:r>
        <w:rPr>
          <w:rFonts w:hint="eastAsia" w:ascii="仿宋_GB2312" w:hAnsi="仿宋_GB2312" w:eastAsia="仿宋_GB2312" w:cs="仿宋_GB2312"/>
          <w:b/>
          <w:bCs/>
          <w:sz w:val="32"/>
          <w:szCs w:val="32"/>
        </w:rPr>
        <w:t>第二部分部门决算情况说明</w:t>
      </w:r>
      <w:r>
        <w:rPr>
          <w:rFonts w:hint="eastAsia" w:ascii="仿宋_GB2312" w:hAnsi="仿宋_GB2312" w:eastAsia="仿宋_GB2312" w:cs="仿宋_GB2312"/>
          <w:b/>
          <w:bCs/>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"_Toc25314" </w:instrText>
      </w:r>
      <w:r>
        <w:fldChar w:fldCharType="separate"/>
      </w:r>
      <w:r>
        <w:rPr>
          <w:rFonts w:hint="eastAsia" w:ascii="仿宋_GB2312" w:hAnsi="仿宋_GB2312" w:eastAsia="仿宋_GB2312" w:cs="仿宋_GB2312"/>
          <w:bCs/>
          <w:kern w:val="0"/>
          <w:sz w:val="32"/>
          <w:szCs w:val="32"/>
        </w:rPr>
        <w:t>一、收入支出决算总体情况说明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"_Toc12142" </w:instrText>
      </w:r>
      <w:r>
        <w:fldChar w:fldCharType="separate"/>
      </w:r>
      <w:r>
        <w:rPr>
          <w:rFonts w:hint="eastAsia" w:ascii="仿宋_GB2312" w:hAnsi="仿宋_GB2312" w:eastAsia="仿宋_GB2312" w:cs="仿宋_GB2312"/>
          <w:bCs/>
          <w:kern w:val="0"/>
          <w:sz w:val="32"/>
          <w:szCs w:val="32"/>
        </w:rPr>
        <w:t>二、收入决算情况说明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"_Toc13201" </w:instrText>
      </w:r>
      <w:r>
        <w:fldChar w:fldCharType="separate"/>
      </w:r>
      <w:r>
        <w:rPr>
          <w:rFonts w:hint="eastAsia" w:ascii="仿宋_GB2312" w:hAnsi="仿宋_GB2312" w:eastAsia="仿宋_GB2312" w:cs="仿宋_GB2312"/>
          <w:bCs/>
          <w:kern w:val="0"/>
          <w:sz w:val="32"/>
          <w:szCs w:val="32"/>
        </w:rPr>
        <w:t>三、支出决算情况说明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"_Toc26564" </w:instrText>
      </w:r>
      <w:r>
        <w:fldChar w:fldCharType="separate"/>
      </w:r>
      <w:r>
        <w:rPr>
          <w:rFonts w:hint="eastAsia" w:ascii="仿宋_GB2312" w:hAnsi="仿宋_GB2312" w:eastAsia="仿宋_GB2312" w:cs="仿宋_GB2312"/>
          <w:bCs/>
          <w:kern w:val="0"/>
          <w:sz w:val="32"/>
          <w:szCs w:val="32"/>
        </w:rPr>
        <w:t>四、财政拨款收入支出决算总体情况说明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"_Toc20360" </w:instrText>
      </w:r>
      <w:r>
        <w:fldChar w:fldCharType="separate"/>
      </w:r>
      <w:r>
        <w:rPr>
          <w:rFonts w:hint="eastAsia" w:ascii="仿宋_GB2312" w:hAnsi="仿宋_GB2312" w:eastAsia="仿宋_GB2312" w:cs="仿宋_GB2312"/>
          <w:bCs/>
          <w:kern w:val="0"/>
          <w:sz w:val="32"/>
          <w:szCs w:val="32"/>
        </w:rPr>
        <w:t>五、一般公共预算财政拨款支出决算情况说明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"_Toc30870" </w:instrText>
      </w:r>
      <w:r>
        <w:fldChar w:fldCharType="separate"/>
      </w:r>
      <w:r>
        <w:rPr>
          <w:rFonts w:hint="eastAsia" w:ascii="仿宋_GB2312" w:hAnsi="仿宋_GB2312" w:eastAsia="仿宋_GB2312" w:cs="仿宋_GB2312"/>
          <w:bCs/>
          <w:kern w:val="0"/>
          <w:sz w:val="32"/>
          <w:szCs w:val="32"/>
        </w:rPr>
        <w:t>六、一般公共预算财政拨款基本支出决算情况说明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"_Toc21518" </w:instrText>
      </w:r>
      <w:r>
        <w:fldChar w:fldCharType="separate"/>
      </w:r>
      <w:r>
        <w:rPr>
          <w:rFonts w:hint="eastAsia" w:ascii="仿宋_GB2312" w:hAnsi="仿宋_GB2312" w:eastAsia="仿宋_GB2312" w:cs="仿宋_GB2312"/>
          <w:bCs/>
          <w:kern w:val="0"/>
          <w:sz w:val="32"/>
          <w:szCs w:val="32"/>
        </w:rPr>
        <w:t>七、一般公共预算财政拨款“三公”经费支出决算情况说明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"_Toc5810" </w:instrText>
      </w:r>
      <w:r>
        <w:fldChar w:fldCharType="separate"/>
      </w:r>
      <w:r>
        <w:rPr>
          <w:rFonts w:hint="eastAsia" w:ascii="仿宋_GB2312" w:hAnsi="仿宋_GB2312" w:eastAsia="仿宋_GB2312" w:cs="仿宋_GB2312"/>
          <w:bCs/>
          <w:kern w:val="0"/>
          <w:sz w:val="32"/>
          <w:szCs w:val="32"/>
        </w:rPr>
        <w:t>八、政府性基金预算财政拨款收入支出决算情况说明</w:t>
      </w:r>
      <w:r>
        <w:rPr>
          <w:rFonts w:hint="eastAsia" w:ascii="仿宋_GB2312" w:hAnsi="仿宋_GB2312" w:eastAsia="仿宋_GB2312" w:cs="仿宋_GB2312"/>
          <w:bCs/>
          <w:kern w:val="0"/>
          <w:sz w:val="32"/>
          <w:szCs w:val="32"/>
        </w:rPr>
        <w:fldChar w:fldCharType="end"/>
      </w:r>
    </w:p>
    <w:p>
      <w:r>
        <w:fldChar w:fldCharType="begin"/>
      </w:r>
      <w:r>
        <w:instrText xml:space="preserve"> HYPERLINK \l "_Toc5810" </w:instrText>
      </w:r>
      <w:r>
        <w:fldChar w:fldCharType="separate"/>
      </w:r>
      <w:r>
        <w:rPr>
          <w:rFonts w:hint="eastAsia" w:ascii="仿宋_GB2312" w:hAnsi="仿宋_GB2312" w:eastAsia="仿宋_GB2312" w:cs="仿宋_GB2312"/>
          <w:bCs/>
          <w:kern w:val="0"/>
          <w:sz w:val="32"/>
          <w:szCs w:val="32"/>
        </w:rPr>
        <w:t>九、国有资本经营预算财政拨款收入支出决算情况说明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"_Toc1235" </w:instrText>
      </w:r>
      <w:r>
        <w:fldChar w:fldCharType="separate"/>
      </w:r>
      <w:r>
        <w:rPr>
          <w:rFonts w:hint="eastAsia" w:ascii="仿宋_GB2312" w:hAnsi="仿宋_GB2312" w:eastAsia="仿宋_GB2312" w:cs="仿宋_GB2312"/>
          <w:sz w:val="32"/>
          <w:szCs w:val="32"/>
        </w:rPr>
        <w:t>十</w:t>
      </w:r>
      <w:r>
        <w:rPr>
          <w:rFonts w:hint="eastAsia" w:ascii="仿宋_GB2312" w:hAnsi="仿宋_GB2312" w:eastAsia="仿宋_GB2312" w:cs="仿宋_GB2312"/>
          <w:bCs/>
          <w:kern w:val="0"/>
          <w:sz w:val="32"/>
          <w:szCs w:val="32"/>
        </w:rPr>
        <w:t>、其他重要事项的情况说明</w:t>
      </w:r>
      <w:r>
        <w:rPr>
          <w:rFonts w:hint="eastAsia" w:ascii="仿宋_GB2312" w:hAnsi="仿宋_GB2312" w:eastAsia="仿宋_GB2312" w:cs="仿宋_GB2312"/>
          <w:bCs/>
          <w:kern w:val="0"/>
          <w:sz w:val="32"/>
          <w:szCs w:val="32"/>
        </w:rPr>
        <w:fldChar w:fldCharType="end"/>
      </w:r>
    </w:p>
    <w:p>
      <w:pPr>
        <w:pStyle w:val="3"/>
        <w:tabs>
          <w:tab w:val="right" w:pos="8306"/>
        </w:tabs>
        <w:ind w:left="0" w:leftChars="0"/>
        <w:rPr>
          <w:rFonts w:ascii="仿宋_GB2312" w:hAnsi="仿宋_GB2312" w:eastAsia="仿宋_GB2312" w:cs="仿宋_GB2312"/>
          <w:sz w:val="32"/>
          <w:szCs w:val="32"/>
        </w:rPr>
      </w:pPr>
      <w:r>
        <w:fldChar w:fldCharType="begin"/>
      </w:r>
      <w:r>
        <w:instrText xml:space="preserve"> HYPERLINK \l "_Toc14519" </w:instrText>
      </w:r>
      <w:r>
        <w:fldChar w:fldCharType="separate"/>
      </w:r>
      <w:r>
        <w:rPr>
          <w:rFonts w:hint="eastAsia" w:ascii="仿宋_GB2312" w:hAnsi="仿宋_GB2312" w:eastAsia="仿宋_GB2312" w:cs="仿宋_GB2312"/>
          <w:sz w:val="32"/>
          <w:szCs w:val="32"/>
        </w:rPr>
        <w:t>（一）机关运行经费支出情况</w:t>
      </w:r>
      <w:r>
        <w:rPr>
          <w:rFonts w:hint="eastAsia" w:ascii="仿宋_GB2312" w:hAnsi="仿宋_GB2312" w:eastAsia="仿宋_GB2312" w:cs="仿宋_GB2312"/>
          <w:sz w:val="32"/>
          <w:szCs w:val="32"/>
        </w:rPr>
        <w:fldChar w:fldCharType="end"/>
      </w:r>
    </w:p>
    <w:p>
      <w:pPr>
        <w:pStyle w:val="3"/>
        <w:tabs>
          <w:tab w:val="right" w:pos="8306"/>
        </w:tabs>
        <w:ind w:left="0" w:leftChars="0"/>
        <w:rPr>
          <w:rFonts w:ascii="仿宋_GB2312" w:hAnsi="仿宋_GB2312" w:eastAsia="仿宋_GB2312" w:cs="仿宋_GB2312"/>
          <w:sz w:val="32"/>
          <w:szCs w:val="32"/>
        </w:rPr>
      </w:pPr>
      <w:r>
        <w:fldChar w:fldCharType="begin"/>
      </w:r>
      <w:r>
        <w:instrText xml:space="preserve"> HYPERLINK \l "_Toc227" </w:instrText>
      </w:r>
      <w:r>
        <w:fldChar w:fldCharType="separate"/>
      </w:r>
      <w:r>
        <w:rPr>
          <w:rFonts w:hint="eastAsia" w:ascii="仿宋_GB2312" w:hAnsi="仿宋_GB2312" w:eastAsia="仿宋_GB2312" w:cs="仿宋_GB2312"/>
          <w:sz w:val="32"/>
          <w:szCs w:val="32"/>
        </w:rPr>
        <w:t>（二）政府采购情况</w:t>
      </w:r>
      <w:r>
        <w:rPr>
          <w:rFonts w:hint="eastAsia" w:ascii="仿宋_GB2312" w:hAnsi="仿宋_GB2312" w:eastAsia="仿宋_GB2312" w:cs="仿宋_GB2312"/>
          <w:sz w:val="32"/>
          <w:szCs w:val="32"/>
        </w:rPr>
        <w:fldChar w:fldCharType="end"/>
      </w:r>
    </w:p>
    <w:p>
      <w:pPr>
        <w:pStyle w:val="3"/>
        <w:tabs>
          <w:tab w:val="right" w:pos="8306"/>
        </w:tabs>
        <w:ind w:left="0" w:leftChars="0"/>
        <w:rPr>
          <w:rFonts w:ascii="仿宋_GB2312" w:hAnsi="仿宋_GB2312" w:eastAsia="仿宋_GB2312" w:cs="仿宋_GB2312"/>
          <w:sz w:val="32"/>
          <w:szCs w:val="32"/>
        </w:rPr>
      </w:pPr>
      <w:r>
        <w:fldChar w:fldCharType="begin"/>
      </w:r>
      <w:r>
        <w:instrText xml:space="preserve"> HYPERLINK \l "_Toc8391" </w:instrText>
      </w:r>
      <w:r>
        <w:fldChar w:fldCharType="separate"/>
      </w:r>
      <w:r>
        <w:rPr>
          <w:rFonts w:hint="eastAsia" w:ascii="仿宋_GB2312" w:hAnsi="仿宋_GB2312" w:eastAsia="仿宋_GB2312" w:cs="仿宋_GB2312"/>
          <w:sz w:val="32"/>
          <w:szCs w:val="32"/>
        </w:rPr>
        <w:t>（三）国有资产占用情况说明</w:t>
      </w:r>
      <w:r>
        <w:rPr>
          <w:rFonts w:hint="eastAsia" w:ascii="仿宋_GB2312" w:hAnsi="仿宋_GB2312" w:eastAsia="仿宋_GB2312" w:cs="仿宋_GB2312"/>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"_Toc11283" </w:instrText>
      </w:r>
      <w:r>
        <w:fldChar w:fldCharType="separate"/>
      </w:r>
      <w:r>
        <w:rPr>
          <w:rFonts w:hint="eastAsia" w:ascii="仿宋_GB2312" w:hAnsi="仿宋_GB2312" w:eastAsia="仿宋_GB2312" w:cs="仿宋_GB2312"/>
          <w:bCs/>
          <w:kern w:val="0"/>
          <w:sz w:val="32"/>
          <w:szCs w:val="32"/>
        </w:rPr>
        <w:t>十一、预算绩效的情况说明</w:t>
      </w:r>
      <w:r>
        <w:rPr>
          <w:rFonts w:hint="eastAsia" w:ascii="仿宋_GB2312" w:hAnsi="仿宋_GB2312" w:eastAsia="仿宋_GB2312" w:cs="仿宋_GB2312"/>
          <w:bCs/>
          <w:kern w:val="0"/>
          <w:sz w:val="32"/>
          <w:szCs w:val="32"/>
        </w:rPr>
        <w:fldChar w:fldCharType="end"/>
      </w:r>
    </w:p>
    <w:p>
      <w:pPr>
        <w:pStyle w:val="7"/>
        <w:tabs>
          <w:tab w:val="right" w:pos="8306"/>
        </w:tabs>
        <w:rPr>
          <w:rFonts w:ascii="仿宋_GB2312" w:hAnsi="仿宋_GB2312" w:eastAsia="仿宋_GB2312" w:cs="仿宋_GB2312"/>
          <w:b/>
          <w:bCs/>
          <w:sz w:val="32"/>
          <w:szCs w:val="32"/>
        </w:rPr>
      </w:pPr>
      <w:r>
        <w:fldChar w:fldCharType="begin"/>
      </w:r>
      <w:r>
        <w:instrText xml:space="preserve"> HYPERLINK \l "_Toc3250" </w:instrText>
      </w:r>
      <w:r>
        <w:fldChar w:fldCharType="separate"/>
      </w:r>
      <w:r>
        <w:rPr>
          <w:rFonts w:hint="eastAsia" w:ascii="仿宋_GB2312" w:hAnsi="仿宋_GB2312" w:eastAsia="仿宋_GB2312" w:cs="仿宋_GB2312"/>
          <w:b/>
          <w:bCs/>
          <w:sz w:val="32"/>
          <w:szCs w:val="32"/>
        </w:rPr>
        <w:t>第三部分专业名词解释</w:t>
      </w:r>
      <w:r>
        <w:rPr>
          <w:rFonts w:hint="eastAsia" w:ascii="仿宋_GB2312" w:hAnsi="仿宋_GB2312" w:eastAsia="仿宋_GB2312" w:cs="仿宋_GB2312"/>
          <w:b/>
          <w:bCs/>
          <w:sz w:val="32"/>
          <w:szCs w:val="32"/>
        </w:rPr>
        <w:fldChar w:fldCharType="end"/>
      </w:r>
    </w:p>
    <w:p>
      <w:pPr>
        <w:pStyle w:val="7"/>
        <w:tabs>
          <w:tab w:val="right" w:pos="8306"/>
        </w:tabs>
        <w:rPr>
          <w:rFonts w:ascii="仿宋_GB2312" w:hAnsi="仿宋_GB2312" w:eastAsia="仿宋_GB2312" w:cs="仿宋_GB2312"/>
          <w:b/>
          <w:bCs/>
          <w:sz w:val="32"/>
          <w:szCs w:val="32"/>
        </w:rPr>
      </w:pPr>
      <w:r>
        <w:fldChar w:fldCharType="begin"/>
      </w:r>
      <w:r>
        <w:instrText xml:space="preserve"> HYPERLINK \l "_Toc22784" </w:instrText>
      </w:r>
      <w:r>
        <w:fldChar w:fldCharType="separate"/>
      </w:r>
      <w:r>
        <w:rPr>
          <w:rFonts w:hint="eastAsia" w:ascii="仿宋_GB2312" w:hAnsi="仿宋_GB2312" w:eastAsia="仿宋_GB2312" w:cs="仿宋_GB2312"/>
          <w:b/>
          <w:bCs/>
          <w:sz w:val="32"/>
          <w:szCs w:val="32"/>
        </w:rPr>
        <w:t>第四部分部门决算报表（见附表）</w:t>
      </w:r>
      <w:r>
        <w:rPr>
          <w:rFonts w:hint="eastAsia" w:ascii="仿宋_GB2312" w:hAnsi="仿宋_GB2312" w:eastAsia="仿宋_GB2312" w:cs="仿宋_GB2312"/>
          <w:b/>
          <w:bCs/>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"_Toc2183" </w:instrText>
      </w:r>
      <w:r>
        <w:fldChar w:fldCharType="separate"/>
      </w:r>
      <w:r>
        <w:rPr>
          <w:rFonts w:hint="eastAsia" w:ascii="仿宋_GB2312" w:hAnsi="仿宋_GB2312" w:eastAsia="仿宋_GB2312" w:cs="仿宋_GB2312"/>
          <w:bCs/>
          <w:kern w:val="0"/>
          <w:sz w:val="32"/>
          <w:szCs w:val="32"/>
        </w:rPr>
        <w:t>一、《收入支出决算总表》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"_Toc24532" </w:instrText>
      </w:r>
      <w:r>
        <w:fldChar w:fldCharType="separate"/>
      </w:r>
      <w:r>
        <w:rPr>
          <w:rFonts w:hint="eastAsia" w:ascii="仿宋_GB2312" w:hAnsi="仿宋_GB2312" w:eastAsia="仿宋_GB2312" w:cs="仿宋_GB2312"/>
          <w:bCs/>
          <w:kern w:val="0"/>
          <w:sz w:val="32"/>
          <w:szCs w:val="32"/>
        </w:rPr>
        <w:t>二、《收入决算表》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"_Toc32434" </w:instrText>
      </w:r>
      <w:r>
        <w:fldChar w:fldCharType="separate"/>
      </w:r>
      <w:r>
        <w:rPr>
          <w:rFonts w:hint="eastAsia" w:ascii="仿宋_GB2312" w:hAnsi="仿宋_GB2312" w:eastAsia="仿宋_GB2312" w:cs="仿宋_GB2312"/>
          <w:bCs/>
          <w:kern w:val="0"/>
          <w:sz w:val="32"/>
          <w:szCs w:val="32"/>
        </w:rPr>
        <w:t>三、《支出决算表》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"_Toc28786" </w:instrText>
      </w:r>
      <w:r>
        <w:fldChar w:fldCharType="separate"/>
      </w:r>
      <w:r>
        <w:rPr>
          <w:rFonts w:hint="eastAsia" w:ascii="仿宋_GB2312" w:hAnsi="仿宋_GB2312" w:eastAsia="仿宋_GB2312" w:cs="仿宋_GB2312"/>
          <w:bCs/>
          <w:kern w:val="0"/>
          <w:sz w:val="32"/>
          <w:szCs w:val="32"/>
        </w:rPr>
        <w:t>四、《财政拨款收入支出决算总表》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"_Toc14869" </w:instrText>
      </w:r>
      <w:r>
        <w:fldChar w:fldCharType="separate"/>
      </w:r>
      <w:r>
        <w:rPr>
          <w:rFonts w:hint="eastAsia" w:ascii="仿宋_GB2312" w:hAnsi="仿宋_GB2312" w:eastAsia="仿宋_GB2312" w:cs="仿宋_GB2312"/>
          <w:bCs/>
          <w:kern w:val="0"/>
          <w:sz w:val="32"/>
          <w:szCs w:val="32"/>
        </w:rPr>
        <w:t>五、《一般公共预算财政拨款支出决算表》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"_Toc8884" </w:instrText>
      </w:r>
      <w:r>
        <w:fldChar w:fldCharType="separate"/>
      </w:r>
      <w:r>
        <w:rPr>
          <w:rFonts w:hint="eastAsia" w:ascii="仿宋_GB2312" w:hAnsi="仿宋_GB2312" w:eastAsia="仿宋_GB2312" w:cs="仿宋_GB2312"/>
          <w:bCs/>
          <w:kern w:val="0"/>
          <w:sz w:val="32"/>
          <w:szCs w:val="32"/>
        </w:rPr>
        <w:t>六、《一般公共预算财政拨款基本支出决算表》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"_Toc29106" </w:instrText>
      </w:r>
      <w:r>
        <w:fldChar w:fldCharType="separate"/>
      </w:r>
      <w:r>
        <w:rPr>
          <w:rFonts w:hint="eastAsia" w:ascii="仿宋_GB2312" w:hAnsi="仿宋_GB2312" w:eastAsia="仿宋_GB2312" w:cs="仿宋_GB2312"/>
          <w:bCs/>
          <w:kern w:val="0"/>
          <w:sz w:val="32"/>
          <w:szCs w:val="32"/>
        </w:rPr>
        <w:t>七、《一般公共预算财政拨款“三公”经费支出决算表》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bCs/>
          <w:kern w:val="0"/>
          <w:sz w:val="32"/>
          <w:szCs w:val="32"/>
        </w:rPr>
      </w:pPr>
      <w:r>
        <w:fldChar w:fldCharType="begin"/>
      </w:r>
      <w:r>
        <w:instrText xml:space="preserve"> HYPERLINK \l "_Toc7643" </w:instrText>
      </w:r>
      <w:r>
        <w:fldChar w:fldCharType="separate"/>
      </w:r>
      <w:r>
        <w:rPr>
          <w:rFonts w:hint="eastAsia" w:ascii="仿宋_GB2312" w:hAnsi="仿宋_GB2312" w:eastAsia="仿宋_GB2312" w:cs="仿宋_GB2312"/>
          <w:bCs/>
          <w:kern w:val="0"/>
          <w:sz w:val="32"/>
          <w:szCs w:val="32"/>
        </w:rPr>
        <w:t>八、《政府性基金预算财政拨款收入支出决算表》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九、《国有资本经营预算财政拨款收入支出决算表》</w:t>
      </w:r>
    </w:p>
    <w:p>
      <w:r>
        <w:rPr>
          <w:rFonts w:hint="eastAsia" w:ascii="仿宋_GB2312" w:hAnsi="仿宋_GB2312" w:eastAsia="仿宋_GB2312" w:cs="仿宋_GB2312"/>
          <w:sz w:val="32"/>
          <w:szCs w:val="32"/>
        </w:rPr>
        <w:fldChar w:fldCharType="end"/>
      </w:r>
    </w:p>
    <w:p>
      <w:pPr>
        <w:ind w:firstLine="640" w:firstLineChars="200"/>
        <w:jc w:val="center"/>
        <w:outlineLvl w:val="0"/>
        <w:rPr>
          <w:rFonts w:ascii="黑体" w:hAnsi="黑体" w:eastAsia="黑体"/>
          <w:sz w:val="32"/>
          <w:szCs w:val="32"/>
        </w:rPr>
      </w:pPr>
      <w:r>
        <w:rPr>
          <w:rFonts w:hint="eastAsia" w:ascii="仿宋_GB2312" w:eastAsia="仿宋_GB2312"/>
          <w:sz w:val="32"/>
          <w:szCs w:val="32"/>
        </w:rPr>
        <w:br w:type="page"/>
      </w:r>
      <w:bookmarkStart w:id="1" w:name="_Toc24028"/>
      <w:bookmarkStart w:id="2" w:name="_Toc32314"/>
      <w:r>
        <w:rPr>
          <w:rFonts w:hint="eastAsia" w:ascii="黑体" w:hAnsi="黑体" w:eastAsia="黑体"/>
          <w:sz w:val="32"/>
          <w:szCs w:val="32"/>
        </w:rPr>
        <w:t>第一部分 部门单位概况</w:t>
      </w:r>
      <w:bookmarkEnd w:id="1"/>
      <w:bookmarkEnd w:id="2"/>
    </w:p>
    <w:p>
      <w:pPr>
        <w:ind w:firstLine="640" w:firstLineChars="200"/>
        <w:outlineLvl w:val="1"/>
        <w:rPr>
          <w:rFonts w:ascii="黑体" w:hAnsi="黑体" w:eastAsia="黑体" w:cs="宋体"/>
          <w:bCs/>
          <w:kern w:val="0"/>
          <w:sz w:val="32"/>
          <w:szCs w:val="32"/>
        </w:rPr>
      </w:pPr>
      <w:bookmarkStart w:id="3" w:name="_Toc30738"/>
      <w:bookmarkStart w:id="4" w:name="_Toc30567"/>
      <w:r>
        <w:rPr>
          <w:rFonts w:hint="eastAsia" w:ascii="黑体" w:hAnsi="黑体" w:eastAsia="黑体" w:cs="宋体"/>
          <w:bCs/>
          <w:kern w:val="0"/>
          <w:sz w:val="32"/>
          <w:szCs w:val="32"/>
        </w:rPr>
        <w:t>一、主要职能</w:t>
      </w:r>
      <w:bookmarkEnd w:id="3"/>
      <w:bookmarkEnd w:id="4"/>
    </w:p>
    <w:p>
      <w:pPr>
        <w:ind w:firstLine="640" w:firstLineChars="200"/>
        <w:rPr>
          <w:rFonts w:ascii="仿宋_GB2312" w:eastAsia="仿宋_GB2312"/>
          <w:sz w:val="32"/>
          <w:szCs w:val="32"/>
        </w:rPr>
      </w:pPr>
      <w:r>
        <w:rPr>
          <w:rFonts w:ascii="仿宋_GB2312" w:eastAsia="仿宋_GB2312"/>
          <w:sz w:val="32"/>
          <w:szCs w:val="32"/>
        </w:rPr>
        <w:t>新疆维吾尔自治区人大常委会办公厅及各工作委员会的工作担负着深入贯彻依法治国方略，加强社会主义民主政治建设，完善人民代表大会制度，自治区人大常委会依法履行国家权力机关职能。自治区人民代表大会设立法制工作委员会、财政经济工作委员会、监察和司法工作委员会、农业与农村工作委员会、教育科学文化卫生工作委员会、民族宗教外事华侨工作委员会、代表人事工作委员会、环境与资源保护工作委员会、社会建设委员会和自治区人大常委会办公厅。办公厅下设 14 个处室，办公厅是自治区人大常委会处理日常事务的综合性办事机构，在常委会分管机关工作的副主任和秘书长的领导下开展工作，当好常委会领导的参谋助手，发挥办事机构的组织、管理职能，为常委会和人大代表依法履行职责提供服务。其主要工作职责是：负责自治区人民代表大会会议、常委会会议、主任会议、主任办公会议、党组会议等会议的会务和服务工作，以及常委会其他重大活动计划的拟定和实施中的具体组织、协调等工作；负责常委会各项报告、文电和领导讲话的起草、审核、翻译、印发和文书处理、档案管理。根据常委会会议、主任会议和党组会议的决定，组织起草、审核以常委会、主任会议、常委会党组和以常委会办公厅名义印发的文件；负责对中共中央、全国人大常委会、国务院、自治区党委、自治区人民政府、自治区高级人民法院、自治区人民检察院及其他有关部门的来文，提出拟办意见，报领导批示后，及时送达有关工作机构办理，收集贯彻落实情况，并向有关部门报告；负责对贯彻落实常委会会议、主任会议、党组会议决定事项及常委会领导重要批示的组织实施和督促检查工作；负责人民代表大会制度理论和地方人大工作研究，并围绕相关调研课题开展调查研究，提出调研报告；负责与新闻单位的联系，做好自治区人民代表大会及其常务委员会新闻宣传工作；负责组织国家法律和地方性法规维吾尔、哈萨克文的翻译和审定工作； 负责常委会机关办公自动化和信息网络化的统一规划、建设和人员培训工作，指导全区人大系统办公自动化建设工作； 负责常委会信访接待与处理工作；负责常委会的外事接待和内宾接待工作；负责常委会机关干部人事管理及离退休人员的管理工作；负责常委会机关值班、保卫、机要、保密、财务、基建、房产管理和后勤保障等工作；负责常委会领导的办公和生活后勤服务及事业单位的管理工作；负责自治区代表团赴京参加全国人代会的服务保障工作。协同常委会有关工作机构做好自治区选出的全国人大代表、自治区人大代表开展视察活动和专题调研的相关服务工作。协同有关工作委员会做好全国人大常委会或其专门委员会、工作机构来我区开展执法检查、考察、调研活动的安排、会务、服务保障等工作；负责对常委会或者专门委员会、工作委员会的有关工作与自治区党委办公厅、自治区人民政府办公厅、自治区高级人民法院和自治区人民检察院办公室或者各州市人大常委会、地区人大工作委员会办公室进行联系、沟通和协调。完成常委会领导和秘书长交办的其他事项</w:t>
      </w:r>
      <w:r>
        <w:rPr>
          <w:rFonts w:hint="eastAsia" w:ascii="仿宋_GB2312" w:eastAsia="仿宋_GB2312"/>
          <w:sz w:val="32"/>
          <w:szCs w:val="32"/>
        </w:rPr>
        <w:t>。</w:t>
      </w:r>
    </w:p>
    <w:p>
      <w:pPr>
        <w:ind w:firstLine="640" w:firstLineChars="200"/>
        <w:outlineLvl w:val="1"/>
        <w:rPr>
          <w:rFonts w:ascii="黑体" w:hAnsi="黑体" w:eastAsia="黑体" w:cs="宋体"/>
          <w:bCs/>
          <w:kern w:val="0"/>
          <w:sz w:val="32"/>
          <w:szCs w:val="32"/>
        </w:rPr>
      </w:pPr>
      <w:bookmarkStart w:id="5" w:name="_Toc31238"/>
      <w:bookmarkStart w:id="6" w:name="_Toc2151"/>
      <w:r>
        <w:rPr>
          <w:rFonts w:hint="eastAsia" w:ascii="黑体" w:hAnsi="黑体" w:eastAsia="黑体" w:cs="宋体"/>
          <w:bCs/>
          <w:kern w:val="0"/>
          <w:sz w:val="32"/>
          <w:szCs w:val="32"/>
        </w:rPr>
        <w:t>二、机构设置及</w:t>
      </w:r>
      <w:bookmarkEnd w:id="5"/>
      <w:r>
        <w:rPr>
          <w:rFonts w:hint="eastAsia" w:ascii="黑体" w:hAnsi="黑体" w:eastAsia="黑体" w:cs="宋体"/>
          <w:bCs/>
          <w:kern w:val="0"/>
          <w:sz w:val="32"/>
          <w:szCs w:val="32"/>
        </w:rPr>
        <w:t>人员情况</w:t>
      </w:r>
      <w:bookmarkEnd w:id="6"/>
    </w:p>
    <w:p>
      <w:pPr>
        <w:ind w:firstLine="640" w:firstLineChars="200"/>
        <w:rPr>
          <w:rFonts w:ascii="仿宋_GB2312" w:eastAsia="仿宋_GB2312"/>
          <w:sz w:val="32"/>
          <w:szCs w:val="32"/>
        </w:rPr>
      </w:pPr>
      <w:r>
        <w:rPr>
          <w:rFonts w:hint="eastAsia" w:ascii="仿宋_GB2312" w:eastAsia="仿宋_GB2312"/>
          <w:sz w:val="32"/>
          <w:szCs w:val="32"/>
        </w:rPr>
        <w:t>新疆维吾尔自治区人民代表大会常务委员会办公厅(本级）</w:t>
      </w:r>
      <w:r>
        <w:rPr>
          <w:rFonts w:ascii="仿宋_GB2312" w:eastAsia="仿宋_GB2312"/>
          <w:sz w:val="32"/>
          <w:szCs w:val="32"/>
        </w:rPr>
        <w:t>2021</w:t>
      </w:r>
      <w:r>
        <w:rPr>
          <w:rFonts w:hint="eastAsia" w:ascii="仿宋_GB2312" w:eastAsia="仿宋_GB2312"/>
          <w:sz w:val="32"/>
          <w:szCs w:val="32"/>
        </w:rPr>
        <w:t>年度，实有人数</w:t>
      </w:r>
      <w:r>
        <w:rPr>
          <w:rFonts w:ascii="仿宋_GB2312" w:eastAsia="仿宋_GB2312"/>
          <w:sz w:val="32"/>
          <w:szCs w:val="32"/>
        </w:rPr>
        <w:t>379</w:t>
      </w:r>
      <w:r>
        <w:rPr>
          <w:rFonts w:hint="eastAsia" w:ascii="仿宋_GB2312" w:eastAsia="仿宋_GB2312"/>
          <w:sz w:val="32"/>
          <w:szCs w:val="32"/>
        </w:rPr>
        <w:t>人，其中：在职人员</w:t>
      </w:r>
      <w:r>
        <w:rPr>
          <w:rFonts w:ascii="仿宋_GB2312" w:eastAsia="仿宋_GB2312"/>
          <w:sz w:val="32"/>
          <w:szCs w:val="32"/>
        </w:rPr>
        <w:t>173</w:t>
      </w:r>
      <w:r>
        <w:rPr>
          <w:rFonts w:hint="eastAsia" w:ascii="仿宋_GB2312" w:eastAsia="仿宋_GB2312"/>
          <w:sz w:val="32"/>
          <w:szCs w:val="32"/>
        </w:rPr>
        <w:t>人，离休人员</w:t>
      </w:r>
      <w:r>
        <w:rPr>
          <w:rFonts w:ascii="仿宋_GB2312" w:eastAsia="仿宋_GB2312"/>
          <w:sz w:val="32"/>
          <w:szCs w:val="32"/>
        </w:rPr>
        <w:t>5</w:t>
      </w:r>
      <w:r>
        <w:rPr>
          <w:rFonts w:hint="eastAsia" w:ascii="仿宋_GB2312" w:eastAsia="仿宋_GB2312"/>
          <w:sz w:val="32"/>
          <w:szCs w:val="32"/>
        </w:rPr>
        <w:t>人，退休人员</w:t>
      </w:r>
      <w:r>
        <w:rPr>
          <w:rFonts w:ascii="仿宋_GB2312" w:eastAsia="仿宋_GB2312"/>
          <w:sz w:val="32"/>
          <w:szCs w:val="32"/>
        </w:rPr>
        <w:t>201</w:t>
      </w:r>
      <w:r>
        <w:rPr>
          <w:rFonts w:hint="eastAsia" w:ascii="仿宋_GB2312" w:eastAsia="仿宋_GB2312"/>
          <w:sz w:val="32"/>
          <w:szCs w:val="32"/>
        </w:rPr>
        <w:t>人。</w:t>
      </w:r>
    </w:p>
    <w:p>
      <w:pPr>
        <w:ind w:firstLine="640" w:firstLineChars="200"/>
        <w:rPr>
          <w:rFonts w:ascii="仿宋_GB2312" w:eastAsia="仿宋_GB2312"/>
          <w:sz w:val="32"/>
          <w:szCs w:val="32"/>
        </w:rPr>
      </w:pPr>
      <w:r>
        <w:rPr>
          <w:rFonts w:hint="eastAsia" w:ascii="仿宋_GB2312" w:eastAsia="仿宋_GB2312"/>
          <w:sz w:val="32"/>
          <w:szCs w:val="32"/>
        </w:rPr>
        <w:t>从部门决算单位构成看，新疆维吾尔自治区人民代表大会常务委员会办公厅(本级）部门决算包括：新疆维吾尔自治区人民代表大会常务委员会办公厅(本级）决算。</w:t>
      </w:r>
      <w:r>
        <w:rPr>
          <w:rFonts w:hint="eastAsia" w:ascii="仿宋_GB2312" w:hAnsi="黑体" w:eastAsia="仿宋_GB2312" w:cs="宋体"/>
          <w:bCs/>
          <w:kern w:val="0"/>
          <w:sz w:val="32"/>
          <w:szCs w:val="32"/>
        </w:rPr>
        <w:t>单位无下属预算单位，下设</w:t>
      </w:r>
      <w:r>
        <w:rPr>
          <w:rFonts w:hint="eastAsia" w:ascii="仿宋_GB2312" w:eastAsia="仿宋_GB2312"/>
          <w:sz w:val="32"/>
          <w:szCs w:val="32"/>
        </w:rPr>
        <w:t>14</w:t>
      </w:r>
      <w:r>
        <w:rPr>
          <w:rFonts w:hint="eastAsia" w:ascii="仿宋_GB2312" w:hAnsi="黑体" w:eastAsia="仿宋_GB2312" w:cs="宋体"/>
          <w:bCs/>
          <w:kern w:val="0"/>
          <w:sz w:val="32"/>
          <w:szCs w:val="32"/>
        </w:rPr>
        <w:t>个处室，分别是：机关党委、人事处、调研室、信访局、督察处、行政处、会务处、翻译处、保卫处、老干处、秘书处、新闻处、培训中心、信息中心</w:t>
      </w:r>
      <w:r>
        <w:rPr>
          <w:rFonts w:hint="eastAsia" w:ascii="仿宋_GB2312" w:hAnsi="宋体" w:eastAsia="仿宋_GB2312" w:cs="宋体"/>
          <w:kern w:val="0"/>
          <w:sz w:val="32"/>
          <w:szCs w:val="32"/>
        </w:rPr>
        <w:t>。</w:t>
      </w:r>
    </w:p>
    <w:p>
      <w:pPr>
        <w:rPr>
          <w:rFonts w:ascii="Arial" w:hAnsi="Arial" w:cs="Arial"/>
          <w:color w:val="4D4D4D"/>
          <w:shd w:val="clear" w:color="auto" w:fill="FFFFFF"/>
        </w:rPr>
      </w:pPr>
      <w:r>
        <w:rPr>
          <w:rFonts w:ascii="Arial" w:hAnsi="Arial" w:cs="Arial"/>
          <w:color w:val="4D4D4D"/>
          <w:shd w:val="clear" w:color="auto" w:fill="FFFFFF"/>
        </w:rPr>
        <w:br w:type="page"/>
      </w:r>
    </w:p>
    <w:p>
      <w:pPr>
        <w:ind w:firstLine="640" w:firstLineChars="200"/>
        <w:jc w:val="center"/>
        <w:outlineLvl w:val="0"/>
        <w:rPr>
          <w:rFonts w:ascii="黑体" w:hAnsi="黑体" w:eastAsia="黑体"/>
          <w:sz w:val="32"/>
          <w:szCs w:val="32"/>
        </w:rPr>
      </w:pPr>
      <w:r>
        <w:rPr>
          <w:rFonts w:hint="eastAsia" w:ascii="黑体" w:hAnsi="黑体" w:eastAsia="黑体"/>
          <w:sz w:val="32"/>
          <w:szCs w:val="32"/>
        </w:rPr>
        <w:t>第二部分 部门决算情况说明</w:t>
      </w:r>
    </w:p>
    <w:p>
      <w:pPr>
        <w:ind w:firstLine="640" w:firstLineChars="200"/>
        <w:outlineLvl w:val="1"/>
        <w:rPr>
          <w:rFonts w:ascii="黑体" w:hAnsi="黑体" w:eastAsia="黑体" w:cs="宋体"/>
          <w:bCs/>
          <w:kern w:val="0"/>
          <w:sz w:val="32"/>
          <w:szCs w:val="32"/>
        </w:rPr>
      </w:pPr>
      <w:bookmarkStart w:id="7" w:name="_Toc12566"/>
      <w:bookmarkStart w:id="8" w:name="_Toc25314"/>
      <w:bookmarkStart w:id="9" w:name="_Hlk97807141"/>
      <w:r>
        <w:rPr>
          <w:rFonts w:hint="eastAsia" w:ascii="黑体" w:hAnsi="黑体" w:eastAsia="黑体" w:cs="宋体"/>
          <w:bCs/>
          <w:kern w:val="0"/>
          <w:sz w:val="32"/>
          <w:szCs w:val="32"/>
        </w:rPr>
        <w:t>一、收入支出决算总体情况说明</w:t>
      </w:r>
      <w:bookmarkEnd w:id="7"/>
      <w:bookmarkEnd w:id="8"/>
    </w:p>
    <w:p>
      <w:pPr>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年度本年收入</w:t>
      </w:r>
      <w:r>
        <w:rPr>
          <w:rFonts w:ascii="仿宋_GB2312" w:eastAsia="仿宋_GB2312"/>
          <w:sz w:val="32"/>
          <w:szCs w:val="32"/>
        </w:rPr>
        <w:t>10,000.80</w:t>
      </w:r>
      <w:r>
        <w:rPr>
          <w:rFonts w:hint="eastAsia" w:ascii="仿宋_GB2312" w:eastAsia="仿宋_GB2312"/>
          <w:sz w:val="32"/>
          <w:szCs w:val="32"/>
        </w:rPr>
        <w:t>万元，与上年相比，减少452.65万元，</w:t>
      </w:r>
      <w:r>
        <w:rPr>
          <w:rFonts w:ascii="仿宋_GB2312" w:eastAsia="仿宋_GB2312"/>
          <w:sz w:val="32"/>
          <w:szCs w:val="32"/>
        </w:rPr>
        <w:t>降低4.33</w:t>
      </w:r>
      <w:r>
        <w:rPr>
          <w:rFonts w:hint="eastAsia" w:ascii="仿宋_GB2312" w:eastAsia="仿宋_GB2312"/>
          <w:sz w:val="32"/>
          <w:szCs w:val="32"/>
        </w:rPr>
        <w:t>%，主要原因是：落实过紧日子，压减经费支出，财政拨款项目资金收入减少。本年支出</w:t>
      </w:r>
      <w:r>
        <w:rPr>
          <w:rFonts w:ascii="仿宋_GB2312" w:eastAsia="仿宋_GB2312"/>
          <w:sz w:val="32"/>
          <w:szCs w:val="32"/>
        </w:rPr>
        <w:t>10,087.06</w:t>
      </w:r>
      <w:r>
        <w:rPr>
          <w:rFonts w:hint="eastAsia" w:ascii="仿宋_GB2312" w:eastAsia="仿宋_GB2312"/>
          <w:sz w:val="32"/>
          <w:szCs w:val="32"/>
        </w:rPr>
        <w:t>万元，与上年相比，</w:t>
      </w:r>
      <w:r>
        <w:rPr>
          <w:rFonts w:ascii="仿宋_GB2312" w:eastAsia="仿宋_GB2312"/>
          <w:sz w:val="32"/>
          <w:szCs w:val="32"/>
        </w:rPr>
        <w:t>减少1,836.98</w:t>
      </w:r>
      <w:r>
        <w:rPr>
          <w:rFonts w:hint="eastAsia" w:ascii="仿宋_GB2312" w:eastAsia="仿宋_GB2312"/>
          <w:sz w:val="32"/>
          <w:szCs w:val="32"/>
        </w:rPr>
        <w:t>万元，</w:t>
      </w:r>
      <w:r>
        <w:rPr>
          <w:rFonts w:ascii="仿宋_GB2312" w:eastAsia="仿宋_GB2312"/>
          <w:sz w:val="32"/>
          <w:szCs w:val="32"/>
        </w:rPr>
        <w:t>降低15.41</w:t>
      </w:r>
      <w:r>
        <w:rPr>
          <w:rFonts w:hint="eastAsia" w:ascii="仿宋_GB2312" w:eastAsia="仿宋_GB2312"/>
          <w:sz w:val="32"/>
          <w:szCs w:val="32"/>
        </w:rPr>
        <w:t>%，主要原因是：落实过紧日子，压减经费支出，财政拨款项目资金拨款支出减少。</w:t>
      </w:r>
    </w:p>
    <w:p>
      <w:pPr>
        <w:ind w:firstLine="640" w:firstLineChars="200"/>
        <w:outlineLvl w:val="1"/>
        <w:rPr>
          <w:rFonts w:ascii="黑体" w:hAnsi="黑体" w:eastAsia="黑体" w:cs="宋体"/>
          <w:bCs/>
          <w:kern w:val="0"/>
          <w:sz w:val="32"/>
          <w:szCs w:val="32"/>
        </w:rPr>
      </w:pPr>
      <w:bookmarkStart w:id="10" w:name="_Toc1979"/>
      <w:bookmarkStart w:id="11" w:name="_Toc12142"/>
      <w:r>
        <w:rPr>
          <w:rFonts w:hint="eastAsia" w:ascii="黑体" w:hAnsi="黑体" w:eastAsia="黑体" w:cs="宋体"/>
          <w:bCs/>
          <w:kern w:val="0"/>
          <w:sz w:val="32"/>
          <w:szCs w:val="32"/>
        </w:rPr>
        <w:t>二、收入决算情况说明</w:t>
      </w:r>
      <w:bookmarkEnd w:id="10"/>
      <w:bookmarkEnd w:id="11"/>
    </w:p>
    <w:p>
      <w:pPr>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年度本年收入</w:t>
      </w:r>
      <w:r>
        <w:rPr>
          <w:rFonts w:ascii="仿宋_GB2312" w:eastAsia="仿宋_GB2312"/>
          <w:sz w:val="32"/>
          <w:szCs w:val="32"/>
        </w:rPr>
        <w:t>10,000.80</w:t>
      </w:r>
      <w:r>
        <w:rPr>
          <w:rFonts w:hint="eastAsia" w:ascii="仿宋_GB2312" w:eastAsia="仿宋_GB2312"/>
          <w:sz w:val="32"/>
          <w:szCs w:val="32"/>
        </w:rPr>
        <w:t>万元，其中：财政拨款收入</w:t>
      </w:r>
      <w:r>
        <w:rPr>
          <w:rFonts w:ascii="仿宋_GB2312" w:eastAsia="仿宋_GB2312"/>
          <w:sz w:val="32"/>
          <w:szCs w:val="32"/>
        </w:rPr>
        <w:t>9,817.81</w:t>
      </w:r>
      <w:r>
        <w:rPr>
          <w:rFonts w:hint="eastAsia" w:ascii="仿宋_GB2312" w:eastAsia="仿宋_GB2312"/>
          <w:sz w:val="32"/>
          <w:szCs w:val="32"/>
        </w:rPr>
        <w:t>万元，占98.17%；上级补助收入</w:t>
      </w:r>
      <w:r>
        <w:rPr>
          <w:rFonts w:ascii="仿宋_GB2312" w:eastAsia="仿宋_GB2312"/>
          <w:sz w:val="32"/>
          <w:szCs w:val="32"/>
        </w:rPr>
        <w:t>0.00</w:t>
      </w:r>
      <w:r>
        <w:rPr>
          <w:rFonts w:hint="eastAsia" w:ascii="仿宋_GB2312" w:eastAsia="仿宋_GB2312"/>
          <w:sz w:val="32"/>
          <w:szCs w:val="32"/>
        </w:rPr>
        <w:t>万元，占0.00%；事业收入</w:t>
      </w:r>
      <w:r>
        <w:rPr>
          <w:rFonts w:ascii="仿宋_GB2312" w:eastAsia="仿宋_GB2312"/>
          <w:sz w:val="32"/>
          <w:szCs w:val="32"/>
        </w:rPr>
        <w:t>0.00</w:t>
      </w:r>
      <w:r>
        <w:rPr>
          <w:rFonts w:hint="eastAsia" w:ascii="仿宋_GB2312" w:eastAsia="仿宋_GB2312"/>
          <w:sz w:val="32"/>
          <w:szCs w:val="32"/>
        </w:rPr>
        <w:t>万元，占0.00%；经营收入</w:t>
      </w:r>
      <w:r>
        <w:rPr>
          <w:rFonts w:ascii="仿宋_GB2312" w:eastAsia="仿宋_GB2312"/>
          <w:sz w:val="32"/>
          <w:szCs w:val="32"/>
        </w:rPr>
        <w:t>0.00</w:t>
      </w:r>
      <w:r>
        <w:rPr>
          <w:rFonts w:hint="eastAsia" w:ascii="仿宋_GB2312" w:eastAsia="仿宋_GB2312"/>
          <w:sz w:val="32"/>
          <w:szCs w:val="32"/>
        </w:rPr>
        <w:t>万元，占0.00%；附属单位上缴收入</w:t>
      </w:r>
      <w:r>
        <w:rPr>
          <w:rFonts w:ascii="仿宋_GB2312" w:eastAsia="仿宋_GB2312"/>
          <w:sz w:val="32"/>
          <w:szCs w:val="32"/>
        </w:rPr>
        <w:t>0.00</w:t>
      </w:r>
      <w:r>
        <w:rPr>
          <w:rFonts w:hint="eastAsia" w:ascii="仿宋_GB2312" w:eastAsia="仿宋_GB2312"/>
          <w:sz w:val="32"/>
          <w:szCs w:val="32"/>
        </w:rPr>
        <w:t>万元，占0.00%；其他收入</w:t>
      </w:r>
      <w:r>
        <w:rPr>
          <w:rFonts w:ascii="仿宋_GB2312" w:eastAsia="仿宋_GB2312"/>
          <w:sz w:val="32"/>
          <w:szCs w:val="32"/>
        </w:rPr>
        <w:t>182.99</w:t>
      </w:r>
      <w:r>
        <w:rPr>
          <w:rFonts w:hint="eastAsia" w:ascii="仿宋_GB2312" w:eastAsia="仿宋_GB2312"/>
          <w:sz w:val="32"/>
          <w:szCs w:val="32"/>
        </w:rPr>
        <w:t>万元，占1.83%。</w:t>
      </w:r>
    </w:p>
    <w:p>
      <w:pPr>
        <w:ind w:firstLine="640" w:firstLineChars="200"/>
        <w:outlineLvl w:val="1"/>
        <w:rPr>
          <w:rFonts w:ascii="黑体" w:hAnsi="黑体" w:eastAsia="黑体" w:cs="宋体"/>
          <w:bCs/>
          <w:kern w:val="0"/>
          <w:sz w:val="32"/>
          <w:szCs w:val="32"/>
        </w:rPr>
      </w:pPr>
      <w:bookmarkStart w:id="12" w:name="_Toc13201"/>
      <w:bookmarkStart w:id="13" w:name="_Toc27961"/>
      <w:r>
        <w:rPr>
          <w:rFonts w:hint="eastAsia" w:ascii="黑体" w:hAnsi="黑体" w:eastAsia="黑体" w:cs="宋体"/>
          <w:bCs/>
          <w:kern w:val="0"/>
          <w:sz w:val="32"/>
          <w:szCs w:val="32"/>
        </w:rPr>
        <w:t>三、支出决算情况说明</w:t>
      </w:r>
      <w:bookmarkEnd w:id="12"/>
      <w:bookmarkEnd w:id="13"/>
    </w:p>
    <w:p>
      <w:pPr>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年度本年支出10,087.06万元，其中：基本支出</w:t>
      </w:r>
      <w:r>
        <w:rPr>
          <w:rFonts w:ascii="仿宋_GB2312" w:eastAsia="仿宋_GB2312"/>
          <w:sz w:val="32"/>
          <w:szCs w:val="32"/>
        </w:rPr>
        <w:t>5,934.25</w:t>
      </w:r>
      <w:r>
        <w:rPr>
          <w:rFonts w:hint="eastAsia" w:ascii="仿宋_GB2312" w:eastAsia="仿宋_GB2312"/>
          <w:sz w:val="32"/>
          <w:szCs w:val="32"/>
        </w:rPr>
        <w:t>万元，占58.83%；项目支出</w:t>
      </w:r>
      <w:r>
        <w:rPr>
          <w:rFonts w:ascii="仿宋_GB2312" w:eastAsia="仿宋_GB2312"/>
          <w:sz w:val="32"/>
          <w:szCs w:val="32"/>
        </w:rPr>
        <w:t>4,152.81</w:t>
      </w:r>
      <w:r>
        <w:rPr>
          <w:rFonts w:hint="eastAsia" w:ascii="仿宋_GB2312" w:eastAsia="仿宋_GB2312"/>
          <w:sz w:val="32"/>
          <w:szCs w:val="32"/>
        </w:rPr>
        <w:t>万元，占41.17%；上缴上级支出</w:t>
      </w:r>
      <w:r>
        <w:rPr>
          <w:rFonts w:ascii="仿宋_GB2312" w:eastAsia="仿宋_GB2312"/>
          <w:sz w:val="32"/>
          <w:szCs w:val="32"/>
        </w:rPr>
        <w:t>0.00</w:t>
      </w:r>
      <w:r>
        <w:rPr>
          <w:rFonts w:hint="eastAsia" w:ascii="仿宋_GB2312" w:eastAsia="仿宋_GB2312"/>
          <w:sz w:val="32"/>
          <w:szCs w:val="32"/>
        </w:rPr>
        <w:t>万元，占0.00%；经营支出</w:t>
      </w:r>
      <w:r>
        <w:rPr>
          <w:rFonts w:ascii="仿宋_GB2312" w:eastAsia="仿宋_GB2312"/>
          <w:sz w:val="32"/>
          <w:szCs w:val="32"/>
        </w:rPr>
        <w:t>0.00</w:t>
      </w:r>
      <w:r>
        <w:rPr>
          <w:rFonts w:hint="eastAsia" w:ascii="仿宋_GB2312" w:eastAsia="仿宋_GB2312"/>
          <w:sz w:val="32"/>
          <w:szCs w:val="32"/>
        </w:rPr>
        <w:t>万元，占</w:t>
      </w:r>
      <w:r>
        <w:rPr>
          <w:rFonts w:ascii="仿宋_GB2312" w:eastAsia="仿宋_GB2312"/>
          <w:sz w:val="32"/>
          <w:szCs w:val="32"/>
        </w:rPr>
        <w:t>0.00</w:t>
      </w:r>
      <w:r>
        <w:rPr>
          <w:rFonts w:hint="eastAsia" w:ascii="仿宋_GB2312" w:eastAsia="仿宋_GB2312"/>
          <w:sz w:val="32"/>
          <w:szCs w:val="32"/>
        </w:rPr>
        <w:t>%；对附属单位补助支出0.00万元，占0.00%。</w:t>
      </w:r>
    </w:p>
    <w:bookmarkEnd w:id="9"/>
    <w:p>
      <w:pPr>
        <w:ind w:firstLine="640" w:firstLineChars="200"/>
        <w:outlineLvl w:val="1"/>
        <w:rPr>
          <w:rFonts w:ascii="黑体" w:hAnsi="黑体" w:eastAsia="黑体" w:cs="宋体"/>
          <w:bCs/>
          <w:kern w:val="0"/>
          <w:sz w:val="32"/>
          <w:szCs w:val="32"/>
        </w:rPr>
      </w:pPr>
      <w:bookmarkStart w:id="14" w:name="_Toc4393"/>
      <w:bookmarkStart w:id="15" w:name="_Toc26564"/>
      <w:r>
        <w:rPr>
          <w:rFonts w:hint="eastAsia" w:ascii="黑体" w:hAnsi="黑体" w:eastAsia="黑体" w:cs="宋体"/>
          <w:bCs/>
          <w:kern w:val="0"/>
          <w:sz w:val="32"/>
          <w:szCs w:val="32"/>
        </w:rPr>
        <w:t>四、财政拨款收入支出决算总体情况说明</w:t>
      </w:r>
      <w:bookmarkEnd w:id="14"/>
      <w:bookmarkEnd w:id="15"/>
    </w:p>
    <w:p>
      <w:pPr>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度财政拨款收入9,817.81万元，与上年相比，减少546.28万元，降低5.27%，主要原因是：落实过紧日子，压减经费支出，财政拨款项目资金拨款减少。财政拨款支出9,908.34万元，与上年相比，减少1,995.78万元，降低16.77%，主要原因是：落实过紧日子，压减经费支出，财政拨款项目资金拨款支出减少。</w:t>
      </w:r>
    </w:p>
    <w:p>
      <w:pPr>
        <w:ind w:firstLine="640" w:firstLineChars="200"/>
        <w:rPr>
          <w:rFonts w:ascii="仿宋_GB2312" w:eastAsia="仿宋_GB2312"/>
          <w:sz w:val="32"/>
          <w:szCs w:val="32"/>
        </w:rPr>
      </w:pPr>
      <w:r>
        <w:rPr>
          <w:rFonts w:hint="eastAsia" w:ascii="仿宋_GB2312" w:eastAsia="仿宋_GB2312"/>
          <w:sz w:val="32"/>
          <w:szCs w:val="32"/>
        </w:rPr>
        <w:t>与年初预算数相比情况：财政拨款收入年初预算数</w:t>
      </w:r>
      <w:r>
        <w:rPr>
          <w:rFonts w:ascii="仿宋_GB2312" w:eastAsia="仿宋_GB2312"/>
          <w:sz w:val="32"/>
          <w:szCs w:val="32"/>
        </w:rPr>
        <w:t>8,171.18</w:t>
      </w:r>
      <w:r>
        <w:rPr>
          <w:rFonts w:hint="eastAsia" w:ascii="仿宋_GB2312" w:eastAsia="仿宋_GB2312"/>
          <w:sz w:val="32"/>
          <w:szCs w:val="32"/>
        </w:rPr>
        <w:t>万元，决算数</w:t>
      </w:r>
      <w:r>
        <w:rPr>
          <w:rFonts w:ascii="仿宋_GB2312" w:eastAsia="仿宋_GB2312"/>
          <w:sz w:val="32"/>
          <w:szCs w:val="32"/>
        </w:rPr>
        <w:t>9,817.81</w:t>
      </w:r>
      <w:r>
        <w:rPr>
          <w:rFonts w:hint="eastAsia" w:ascii="仿宋_GB2312" w:eastAsia="仿宋_GB2312"/>
          <w:sz w:val="32"/>
          <w:szCs w:val="32"/>
        </w:rPr>
        <w:t>万元，预决算差异率</w:t>
      </w:r>
      <w:r>
        <w:rPr>
          <w:rFonts w:ascii="仿宋_GB2312" w:eastAsia="仿宋_GB2312"/>
          <w:sz w:val="32"/>
          <w:szCs w:val="32"/>
        </w:rPr>
        <w:t>20.15</w:t>
      </w:r>
      <w:r>
        <w:rPr>
          <w:rFonts w:hint="eastAsia" w:ascii="仿宋_GB2312" w:eastAsia="仿宋_GB2312"/>
          <w:sz w:val="32"/>
          <w:szCs w:val="32"/>
        </w:rPr>
        <w:t>%，主要原因是：年中追加绩效工资、职业年金、离退休经费等财政拨款收入。财政拨款支出年初预算数</w:t>
      </w:r>
      <w:r>
        <w:rPr>
          <w:rFonts w:ascii="仿宋_GB2312" w:eastAsia="仿宋_GB2312"/>
          <w:sz w:val="32"/>
          <w:szCs w:val="32"/>
        </w:rPr>
        <w:t>8,171.18</w:t>
      </w:r>
      <w:r>
        <w:rPr>
          <w:rFonts w:hint="eastAsia" w:ascii="仿宋_GB2312" w:eastAsia="仿宋_GB2312"/>
          <w:sz w:val="32"/>
          <w:szCs w:val="32"/>
        </w:rPr>
        <w:t>万元，决算数</w:t>
      </w:r>
      <w:r>
        <w:rPr>
          <w:rFonts w:ascii="仿宋_GB2312" w:eastAsia="仿宋_GB2312"/>
          <w:sz w:val="32"/>
          <w:szCs w:val="32"/>
        </w:rPr>
        <w:t>9,908.34</w:t>
      </w:r>
      <w:r>
        <w:rPr>
          <w:rFonts w:hint="eastAsia" w:ascii="仿宋_GB2312" w:eastAsia="仿宋_GB2312"/>
          <w:sz w:val="32"/>
          <w:szCs w:val="32"/>
        </w:rPr>
        <w:t>万元，预决算差异率21.26%，主要原因是：年中追加绩效工资、职业年金、离退休经费等财政拨款支出。</w:t>
      </w:r>
    </w:p>
    <w:p>
      <w:pPr>
        <w:ind w:firstLine="640" w:firstLineChars="200"/>
        <w:outlineLvl w:val="1"/>
        <w:rPr>
          <w:rFonts w:ascii="黑体" w:hAnsi="黑体" w:eastAsia="黑体" w:cs="宋体"/>
          <w:bCs/>
          <w:kern w:val="0"/>
          <w:sz w:val="32"/>
          <w:szCs w:val="32"/>
        </w:rPr>
      </w:pPr>
      <w:bookmarkStart w:id="16" w:name="_Toc20360"/>
      <w:bookmarkStart w:id="17" w:name="_Toc13833"/>
      <w:r>
        <w:rPr>
          <w:rFonts w:hint="eastAsia" w:ascii="黑体" w:hAnsi="黑体" w:eastAsia="黑体" w:cs="宋体"/>
          <w:bCs/>
          <w:kern w:val="0"/>
          <w:sz w:val="32"/>
          <w:szCs w:val="32"/>
        </w:rPr>
        <w:t>五、一般公共预算财政拨款支出决算情况说明</w:t>
      </w:r>
      <w:bookmarkEnd w:id="16"/>
      <w:bookmarkEnd w:id="17"/>
    </w:p>
    <w:p>
      <w:pPr>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年度一般公共预算财政拨款支出9,908.34万元。按功能分类科目项级科目公开，其中：</w:t>
      </w:r>
    </w:p>
    <w:p>
      <w:pPr>
        <w:jc w:val="left"/>
        <w:rPr>
          <w:rFonts w:ascii="仿宋_GB2312" w:eastAsia="仿宋_GB2312"/>
          <w:sz w:val="32"/>
          <w:szCs w:val="32"/>
        </w:rPr>
      </w:pPr>
      <w:bookmarkStart w:id="18" w:name="_Toc11146"/>
      <w:bookmarkStart w:id="19" w:name="_Toc30870"/>
      <w:r>
        <w:rPr>
          <w:rFonts w:ascii="仿宋_GB2312" w:eastAsia="仿宋_GB2312"/>
          <w:sz w:val="32"/>
          <w:szCs w:val="32"/>
        </w:rPr>
        <w:tab/>
      </w:r>
      <w:r>
        <w:rPr>
          <w:rFonts w:ascii="仿宋_GB2312" w:eastAsia="仿宋_GB2312"/>
          <w:sz w:val="32"/>
          <w:szCs w:val="32"/>
        </w:rPr>
        <w:t xml:space="preserve"> 2010101行政运行4,379.82万元；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2010102一般行政管理事务1,765.40万元；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2010104人大会议770.09万元；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2010105人大立法80.00万元；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2010106人大监督200.00万元；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2010108代表工作240.00万元；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2010199其他人大事务支出1,048.13万元；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2080501行政单位离退休511.53万元；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2080505机关事业单位基本养老保险缴费支出319.92万元；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2080506机关事业单位职业年金缴费支出46.49万元；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2101101行政单位医疗172.32万元；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2101103公务员医疗补助134.03万元；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2210201住房公积金240.60万元。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w:t>
      </w:r>
      <w:r>
        <w:rPr>
          <w:rFonts w:hint="eastAsia" w:ascii="黑体" w:hAnsi="黑体" w:eastAsia="黑体" w:cs="宋体"/>
          <w:bCs/>
          <w:kern w:val="0"/>
          <w:sz w:val="32"/>
          <w:szCs w:val="32"/>
        </w:rPr>
        <w:t>六、一般公共预算财政拨款基本支出决算情况说明</w:t>
      </w:r>
      <w:bookmarkEnd w:id="18"/>
      <w:bookmarkEnd w:id="19"/>
    </w:p>
    <w:p>
      <w:pPr>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年度一般公共预算财政拨款基本支出</w:t>
      </w:r>
      <w:r>
        <w:rPr>
          <w:rFonts w:ascii="仿宋_GB2312" w:eastAsia="仿宋_GB2312"/>
          <w:sz w:val="32"/>
          <w:szCs w:val="32"/>
        </w:rPr>
        <w:t>5,804.72</w:t>
      </w:r>
      <w:r>
        <w:rPr>
          <w:rFonts w:hint="eastAsia" w:ascii="仿宋_GB2312" w:eastAsia="仿宋_GB2312"/>
          <w:sz w:val="32"/>
          <w:szCs w:val="32"/>
        </w:rPr>
        <w:t>万元，其中：</w:t>
      </w:r>
    </w:p>
    <w:p>
      <w:pPr>
        <w:ind w:firstLine="640" w:firstLineChars="200"/>
        <w:rPr>
          <w:rFonts w:ascii="仿宋_GB2312" w:eastAsia="仿宋_GB2312"/>
          <w:sz w:val="32"/>
          <w:szCs w:val="32"/>
        </w:rPr>
      </w:pPr>
      <w:r>
        <w:rPr>
          <w:rFonts w:hint="eastAsia" w:ascii="仿宋_GB2312" w:eastAsia="仿宋_GB2312"/>
          <w:sz w:val="32"/>
          <w:szCs w:val="32"/>
        </w:rPr>
        <w:t>人员经费</w:t>
      </w:r>
      <w:r>
        <w:rPr>
          <w:rFonts w:ascii="仿宋_GB2312" w:eastAsia="仿宋_GB2312"/>
          <w:sz w:val="32"/>
          <w:szCs w:val="32"/>
        </w:rPr>
        <w:t>4,802.06</w:t>
      </w:r>
      <w:r>
        <w:rPr>
          <w:rFonts w:hint="eastAsia" w:ascii="仿宋_GB2312" w:eastAsia="仿宋_GB2312"/>
          <w:sz w:val="32"/>
          <w:szCs w:val="32"/>
        </w:rPr>
        <w:t>万元，包括：基本工资、津贴补贴、奖金、机关事业单位基本养老保险缴费、职业年金缴费、职工基本医疗保险缴费、公务员医疗补助缴费、住房公积金、其他工资福利支出、离休费、退休费、抚恤金、生活补助、医疗费补助、奖励金、其他对个人和家庭的补助</w:t>
      </w:r>
      <w:r>
        <w:rPr>
          <w:rFonts w:hint="eastAsia" w:ascii="仿宋_GB2312" w:hAnsi="宋体" w:eastAsia="仿宋_GB2312" w:cs="宋体"/>
          <w:kern w:val="0"/>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公用经费1,002.66万元，包括：办公费、印刷费、水费、电费、邮电费、取暖费、物业管理费、差旅费、维修（护）费、培训费、劳务费、工会经费、福利费、公务用车运行维护费、其他交通费用</w:t>
      </w:r>
      <w:r>
        <w:rPr>
          <w:rFonts w:hint="eastAsia" w:ascii="仿宋_GB2312" w:hAnsi="宋体" w:eastAsia="仿宋_GB2312" w:cs="宋体"/>
          <w:kern w:val="0"/>
          <w:sz w:val="32"/>
          <w:szCs w:val="32"/>
        </w:rPr>
        <w:t>。</w:t>
      </w:r>
    </w:p>
    <w:p>
      <w:pPr>
        <w:ind w:firstLine="640" w:firstLineChars="200"/>
        <w:outlineLvl w:val="1"/>
        <w:rPr>
          <w:rFonts w:ascii="黑体" w:hAnsi="黑体" w:eastAsia="黑体" w:cs="宋体"/>
          <w:bCs/>
          <w:kern w:val="0"/>
          <w:sz w:val="32"/>
          <w:szCs w:val="32"/>
        </w:rPr>
      </w:pPr>
      <w:bookmarkStart w:id="20" w:name="_Toc7190"/>
      <w:bookmarkStart w:id="21" w:name="_Toc21518"/>
      <w:r>
        <w:rPr>
          <w:rFonts w:hint="eastAsia" w:ascii="黑体" w:hAnsi="黑体" w:eastAsia="黑体" w:cs="宋体"/>
          <w:bCs/>
          <w:kern w:val="0"/>
          <w:sz w:val="32"/>
          <w:szCs w:val="32"/>
        </w:rPr>
        <w:t>七、一般公共预算财政拨款“三公”经费支出决算情况说明</w:t>
      </w:r>
      <w:bookmarkEnd w:id="20"/>
      <w:bookmarkEnd w:id="21"/>
    </w:p>
    <w:p>
      <w:pPr>
        <w:pStyle w:val="9"/>
        <w:widowControl/>
        <w:shd w:val="clear" w:color="auto" w:fill="FFFFFF"/>
        <w:ind w:firstLine="640" w:firstLineChars="200"/>
        <w:rPr>
          <w:rFonts w:hint="default" w:ascii="仿宋_GB2312" w:eastAsia="仿宋_GB2312"/>
          <w:sz w:val="32"/>
          <w:szCs w:val="32"/>
        </w:rPr>
      </w:pPr>
      <w:r>
        <w:rPr>
          <w:rFonts w:ascii="仿宋_GB2312" w:eastAsia="仿宋_GB2312"/>
          <w:sz w:val="32"/>
          <w:szCs w:val="32"/>
        </w:rPr>
        <w:t>2021年度一般公共预算“三公”经费支出决算646.55万元，比上年增加226.97万元，增长54.09%，主要原因是</w:t>
      </w:r>
      <w:r>
        <w:rPr>
          <w:rFonts w:hint="eastAsia" w:ascii="仿宋_GB2312" w:eastAsia="仿宋_GB2312"/>
          <w:sz w:val="32"/>
          <w:szCs w:val="32"/>
          <w:lang w:eastAsia="zh-CN"/>
        </w:rPr>
        <w:t>：</w:t>
      </w:r>
      <w:r>
        <w:rPr>
          <w:rFonts w:ascii="仿宋_GB2312" w:eastAsia="仿宋_GB2312"/>
          <w:sz w:val="32"/>
          <w:szCs w:val="32"/>
        </w:rPr>
        <w:t>本年度单位新增8辆公车，车辆运行维护费用支出增加。其中</w:t>
      </w:r>
      <w:r>
        <w:rPr>
          <w:rFonts w:hint="eastAsia" w:ascii="仿宋_GB2312" w:eastAsia="仿宋_GB2312"/>
          <w:sz w:val="32"/>
          <w:szCs w:val="32"/>
          <w:lang w:eastAsia="zh-CN"/>
        </w:rPr>
        <w:t>：</w:t>
      </w:r>
      <w:r>
        <w:rPr>
          <w:rFonts w:ascii="仿宋_GB2312" w:eastAsia="仿宋_GB2312"/>
          <w:sz w:val="32"/>
          <w:szCs w:val="32"/>
        </w:rPr>
        <w:t>因公出国（境）费支出0.00万元，占0.00%，比上年增加0.00万元，增长0.00%，主要原因是</w:t>
      </w:r>
      <w:r>
        <w:rPr>
          <w:rFonts w:hint="eastAsia" w:ascii="仿宋_GB2312" w:eastAsia="仿宋_GB2312"/>
          <w:sz w:val="32"/>
          <w:szCs w:val="32"/>
          <w:lang w:eastAsia="zh-CN"/>
        </w:rPr>
        <w:t>：</w:t>
      </w:r>
      <w:r>
        <w:rPr>
          <w:rFonts w:ascii="仿宋_GB2312" w:eastAsia="仿宋_GB2312"/>
          <w:sz w:val="32"/>
          <w:szCs w:val="32"/>
        </w:rPr>
        <w:t>我单位无因公出国（境）费；公务用车购置及运行维护费支出644.25万元，占99.64%，比上年增加226.66万元，增长54.28%，主要原因是：本年度单位新增8辆公车，车辆运行维护费用支出增加；公务接待费支出2.30万元，占0.36%，比上年增加0.32万元，增长16.16%，主要原因是</w:t>
      </w:r>
      <w:r>
        <w:rPr>
          <w:rFonts w:hint="eastAsia" w:ascii="仿宋_GB2312" w:eastAsia="仿宋_GB2312"/>
          <w:sz w:val="32"/>
          <w:szCs w:val="32"/>
          <w:lang w:eastAsia="zh-CN"/>
        </w:rPr>
        <w:t>：</w:t>
      </w:r>
      <w:r>
        <w:rPr>
          <w:rFonts w:ascii="仿宋_GB2312" w:eastAsia="仿宋_GB2312"/>
          <w:sz w:val="32"/>
          <w:szCs w:val="32"/>
        </w:rPr>
        <w:t>本年度各级人大检查指导活动增加。具体情况如下：</w:t>
      </w:r>
    </w:p>
    <w:p>
      <w:pPr>
        <w:ind w:firstLine="640" w:firstLineChars="200"/>
        <w:rPr>
          <w:rFonts w:ascii="仿宋_GB2312" w:eastAsia="仿宋_GB2312"/>
          <w:sz w:val="32"/>
          <w:szCs w:val="32"/>
        </w:rPr>
      </w:pPr>
      <w:r>
        <w:rPr>
          <w:rFonts w:hint="eastAsia" w:ascii="仿宋_GB2312" w:eastAsia="仿宋_GB2312"/>
          <w:sz w:val="32"/>
          <w:szCs w:val="32"/>
        </w:rPr>
        <w:t>因公出国（境）费支出</w:t>
      </w:r>
      <w:r>
        <w:rPr>
          <w:rFonts w:ascii="仿宋_GB2312" w:eastAsia="仿宋_GB2312"/>
          <w:sz w:val="32"/>
          <w:szCs w:val="32"/>
        </w:rPr>
        <w:t>0.00</w:t>
      </w:r>
      <w:r>
        <w:rPr>
          <w:rFonts w:hint="eastAsia" w:ascii="仿宋_GB2312" w:eastAsia="仿宋_GB2312"/>
          <w:sz w:val="32"/>
          <w:szCs w:val="32"/>
        </w:rPr>
        <w:t>万元，开支内容包括我单位无因公出国（境）费。单位全年安排的因公出国（境）团组</w:t>
      </w:r>
      <w:r>
        <w:rPr>
          <w:rFonts w:ascii="仿宋_GB2312" w:eastAsia="仿宋_GB2312"/>
          <w:sz w:val="32"/>
          <w:szCs w:val="32"/>
        </w:rPr>
        <w:t>0</w:t>
      </w:r>
      <w:r>
        <w:rPr>
          <w:rFonts w:hint="eastAsia" w:ascii="仿宋_GB2312" w:eastAsia="仿宋_GB2312"/>
          <w:sz w:val="32"/>
          <w:szCs w:val="32"/>
        </w:rPr>
        <w:t>个，因公出国（境）0人次。</w:t>
      </w:r>
    </w:p>
    <w:p>
      <w:pPr>
        <w:ind w:firstLine="640" w:firstLineChars="200"/>
        <w:rPr>
          <w:rFonts w:ascii="仿宋_GB2312" w:eastAsia="仿宋_GB2312"/>
          <w:sz w:val="32"/>
          <w:szCs w:val="32"/>
        </w:rPr>
      </w:pPr>
      <w:r>
        <w:rPr>
          <w:rFonts w:hint="eastAsia" w:ascii="仿宋_GB2312" w:eastAsia="仿宋_GB2312"/>
          <w:sz w:val="32"/>
          <w:szCs w:val="32"/>
        </w:rPr>
        <w:t>公务用车购置及运行维护费</w:t>
      </w:r>
      <w:r>
        <w:rPr>
          <w:rFonts w:ascii="仿宋_GB2312" w:eastAsia="仿宋_GB2312"/>
          <w:sz w:val="32"/>
          <w:szCs w:val="32"/>
        </w:rPr>
        <w:t>644.25</w:t>
      </w:r>
      <w:r>
        <w:rPr>
          <w:rFonts w:hint="eastAsia" w:ascii="仿宋_GB2312" w:eastAsia="仿宋_GB2312"/>
          <w:sz w:val="32"/>
          <w:szCs w:val="32"/>
        </w:rPr>
        <w:t>万元，其中</w:t>
      </w:r>
      <w:r>
        <w:rPr>
          <w:rFonts w:hint="eastAsia" w:ascii="仿宋_GB2312" w:eastAsia="仿宋_GB2312"/>
          <w:sz w:val="32"/>
          <w:szCs w:val="32"/>
          <w:lang w:eastAsia="zh-CN"/>
        </w:rPr>
        <w:t>：</w:t>
      </w:r>
      <w:r>
        <w:rPr>
          <w:rFonts w:hint="eastAsia" w:ascii="仿宋_GB2312" w:eastAsia="仿宋_GB2312"/>
          <w:sz w:val="32"/>
          <w:szCs w:val="32"/>
        </w:rPr>
        <w:t>公务用车购置费</w:t>
      </w:r>
      <w:r>
        <w:rPr>
          <w:rFonts w:ascii="仿宋_GB2312" w:eastAsia="仿宋_GB2312"/>
          <w:sz w:val="32"/>
          <w:szCs w:val="32"/>
        </w:rPr>
        <w:t>214.00</w:t>
      </w:r>
      <w:r>
        <w:rPr>
          <w:rFonts w:hint="eastAsia" w:ascii="仿宋_GB2312" w:eastAsia="仿宋_GB2312"/>
          <w:sz w:val="32"/>
          <w:szCs w:val="32"/>
        </w:rPr>
        <w:t>万元，公务用车运行维护费</w:t>
      </w:r>
      <w:r>
        <w:rPr>
          <w:rFonts w:ascii="仿宋_GB2312" w:eastAsia="仿宋_GB2312"/>
          <w:sz w:val="32"/>
          <w:szCs w:val="32"/>
        </w:rPr>
        <w:t>430.25</w:t>
      </w:r>
      <w:r>
        <w:rPr>
          <w:rFonts w:hint="eastAsia" w:ascii="仿宋_GB2312" w:eastAsia="仿宋_GB2312"/>
          <w:sz w:val="32"/>
          <w:szCs w:val="32"/>
        </w:rPr>
        <w:t>万元。公务用车运行维护费开支内容包括：公务用车运行维护费开支内容包括车辆运行维护费、停车费、过路费、车辆保险、油料费等费用。公务用车购置数</w:t>
      </w:r>
      <w:r>
        <w:rPr>
          <w:rFonts w:ascii="仿宋_GB2312" w:eastAsia="仿宋_GB2312"/>
          <w:sz w:val="32"/>
          <w:szCs w:val="32"/>
        </w:rPr>
        <w:t>8</w:t>
      </w:r>
      <w:r>
        <w:rPr>
          <w:rFonts w:hint="eastAsia" w:ascii="仿宋_GB2312" w:eastAsia="仿宋_GB2312"/>
          <w:sz w:val="32"/>
          <w:szCs w:val="32"/>
        </w:rPr>
        <w:t>辆，公务用车保有量111辆。</w:t>
      </w:r>
    </w:p>
    <w:p>
      <w:pPr>
        <w:ind w:firstLine="640" w:firstLineChars="200"/>
        <w:rPr>
          <w:rFonts w:ascii="仿宋_GB2312" w:eastAsia="仿宋_GB2312"/>
          <w:sz w:val="32"/>
          <w:szCs w:val="32"/>
        </w:rPr>
      </w:pPr>
      <w:r>
        <w:rPr>
          <w:rFonts w:hint="eastAsia" w:ascii="仿宋_GB2312" w:eastAsia="仿宋_GB2312"/>
          <w:sz w:val="32"/>
          <w:szCs w:val="32"/>
        </w:rPr>
        <w:t>公务接待费</w:t>
      </w:r>
      <w:r>
        <w:rPr>
          <w:rFonts w:ascii="仿宋_GB2312" w:eastAsia="仿宋_GB2312"/>
          <w:sz w:val="32"/>
          <w:szCs w:val="32"/>
        </w:rPr>
        <w:t>2.30</w:t>
      </w:r>
      <w:r>
        <w:rPr>
          <w:rFonts w:hint="eastAsia" w:ascii="仿宋_GB2312" w:eastAsia="仿宋_GB2312"/>
          <w:sz w:val="32"/>
          <w:szCs w:val="32"/>
        </w:rPr>
        <w:t>万元，开支内容包括公务活动发生的餐饮费用。单位全年安排的国内公务接待</w:t>
      </w:r>
      <w:r>
        <w:rPr>
          <w:rFonts w:ascii="仿宋_GB2312" w:eastAsia="仿宋_GB2312"/>
          <w:sz w:val="32"/>
          <w:szCs w:val="32"/>
        </w:rPr>
        <w:t>20</w:t>
      </w:r>
      <w:r>
        <w:rPr>
          <w:rFonts w:hint="eastAsia" w:ascii="仿宋_GB2312" w:eastAsia="仿宋_GB2312"/>
          <w:sz w:val="32"/>
          <w:szCs w:val="32"/>
        </w:rPr>
        <w:t>批次，</w:t>
      </w:r>
      <w:r>
        <w:rPr>
          <w:rFonts w:ascii="仿宋_GB2312" w:eastAsia="仿宋_GB2312"/>
          <w:sz w:val="32"/>
          <w:szCs w:val="32"/>
        </w:rPr>
        <w:t>300</w:t>
      </w:r>
      <w:r>
        <w:rPr>
          <w:rFonts w:hint="eastAsia" w:ascii="仿宋_GB2312" w:eastAsia="仿宋_GB2312"/>
          <w:sz w:val="32"/>
          <w:szCs w:val="32"/>
        </w:rPr>
        <w:t>人次。</w:t>
      </w:r>
    </w:p>
    <w:p>
      <w:pPr>
        <w:ind w:firstLine="640" w:firstLineChars="200"/>
        <w:rPr>
          <w:rFonts w:ascii="仿宋_GB2312" w:eastAsia="仿宋_GB2312"/>
          <w:sz w:val="32"/>
          <w:szCs w:val="32"/>
        </w:rPr>
      </w:pPr>
      <w:r>
        <w:rPr>
          <w:rFonts w:hint="eastAsia" w:ascii="仿宋_GB2312" w:eastAsia="仿宋_GB2312"/>
          <w:sz w:val="32"/>
          <w:szCs w:val="32"/>
        </w:rPr>
        <w:t>与年初预算数相比情况：一般公共预算“三公”经费支出年初预算数701.60万元，决算数</w:t>
      </w:r>
      <w:r>
        <w:rPr>
          <w:rFonts w:ascii="仿宋_GB2312" w:eastAsia="仿宋_GB2312"/>
          <w:sz w:val="32"/>
          <w:szCs w:val="32"/>
        </w:rPr>
        <w:t>646.55</w:t>
      </w:r>
      <w:r>
        <w:rPr>
          <w:rFonts w:hint="eastAsia" w:ascii="仿宋_GB2312" w:eastAsia="仿宋_GB2312"/>
          <w:sz w:val="32"/>
          <w:szCs w:val="32"/>
        </w:rPr>
        <w:t>万元，预决算差异率-7.85%，主要原因是：我单位本着厉行节约原则，减少三公经费支出。</w:t>
      </w:r>
      <w:r>
        <w:rPr>
          <w:rFonts w:hint="eastAsia" w:ascii="仿宋_GB2312" w:hAnsi="宋体" w:eastAsia="仿宋_GB2312" w:cs="宋体"/>
          <w:kern w:val="0"/>
          <w:sz w:val="32"/>
          <w:szCs w:val="32"/>
        </w:rPr>
        <w:t>其中：因公出国（境）费</w:t>
      </w:r>
      <w:r>
        <w:rPr>
          <w:rFonts w:hint="eastAsia" w:ascii="仿宋_GB2312" w:eastAsia="仿宋_GB2312"/>
          <w:sz w:val="32"/>
          <w:szCs w:val="32"/>
        </w:rPr>
        <w:t>预算数0.00万元，决算数0.00万元，预决算差异率0.00%，主要原因是：我单位无因公出国（境）费；</w:t>
      </w:r>
      <w:r>
        <w:rPr>
          <w:rFonts w:hint="eastAsia" w:ascii="仿宋_GB2312" w:hAnsi="宋体" w:eastAsia="仿宋_GB2312" w:cs="宋体"/>
          <w:kern w:val="0"/>
          <w:sz w:val="32"/>
          <w:szCs w:val="32"/>
        </w:rPr>
        <w:t>公务用车购置</w:t>
      </w:r>
      <w:r>
        <w:rPr>
          <w:rFonts w:hint="eastAsia" w:ascii="仿宋_GB2312" w:eastAsia="仿宋_GB2312"/>
          <w:sz w:val="32"/>
          <w:szCs w:val="32"/>
        </w:rPr>
        <w:t>费预算数214.00万元，决算数214.00万元，预决算差异率0.00%，主要原因是：严格与年初预算保持一致执行公车购置；</w:t>
      </w:r>
      <w:r>
        <w:rPr>
          <w:rFonts w:hint="eastAsia" w:ascii="仿宋_GB2312" w:hAnsi="宋体" w:eastAsia="仿宋_GB2312" w:cs="宋体"/>
          <w:kern w:val="0"/>
          <w:sz w:val="32"/>
          <w:szCs w:val="32"/>
        </w:rPr>
        <w:t>公务用车运行费</w:t>
      </w:r>
      <w:r>
        <w:rPr>
          <w:rFonts w:hint="eastAsia" w:ascii="仿宋_GB2312" w:eastAsia="仿宋_GB2312"/>
          <w:sz w:val="32"/>
          <w:szCs w:val="32"/>
        </w:rPr>
        <w:t>预算数434.60万元，决算数430.25万元，预决算差异率-1.00%，主要原因是：我单位本着厉行节约原则，减少公务车辆经费支出；</w:t>
      </w:r>
      <w:r>
        <w:rPr>
          <w:rFonts w:hint="eastAsia" w:ascii="仿宋_GB2312" w:hAnsi="宋体" w:eastAsia="仿宋_GB2312" w:cs="宋体"/>
          <w:kern w:val="0"/>
          <w:sz w:val="32"/>
          <w:szCs w:val="32"/>
        </w:rPr>
        <w:t>公务接待费</w:t>
      </w:r>
      <w:r>
        <w:rPr>
          <w:rFonts w:hint="eastAsia" w:ascii="仿宋_GB2312" w:eastAsia="仿宋_GB2312"/>
          <w:sz w:val="32"/>
          <w:szCs w:val="32"/>
        </w:rPr>
        <w:t>预算数</w:t>
      </w:r>
      <w:r>
        <w:rPr>
          <w:rFonts w:ascii="仿宋_GB2312" w:eastAsia="仿宋_GB2312"/>
          <w:sz w:val="32"/>
          <w:szCs w:val="32"/>
        </w:rPr>
        <w:t>53.00</w:t>
      </w:r>
      <w:r>
        <w:rPr>
          <w:rFonts w:hint="eastAsia" w:ascii="仿宋_GB2312" w:eastAsia="仿宋_GB2312"/>
          <w:sz w:val="32"/>
          <w:szCs w:val="32"/>
        </w:rPr>
        <w:t>万元，决算数</w:t>
      </w:r>
      <w:r>
        <w:rPr>
          <w:rFonts w:ascii="仿宋_GB2312" w:eastAsia="仿宋_GB2312"/>
          <w:sz w:val="32"/>
          <w:szCs w:val="32"/>
        </w:rPr>
        <w:t>2.30</w:t>
      </w:r>
      <w:r>
        <w:rPr>
          <w:rFonts w:hint="eastAsia" w:ascii="仿宋_GB2312" w:eastAsia="仿宋_GB2312"/>
          <w:sz w:val="32"/>
          <w:szCs w:val="32"/>
        </w:rPr>
        <w:t>万元，预决算差异率-95.66%，主要原因是：我单位本着厉行节约原则，减少公务接待经费支出。</w:t>
      </w:r>
    </w:p>
    <w:p>
      <w:pPr>
        <w:ind w:firstLine="640" w:firstLineChars="200"/>
        <w:outlineLvl w:val="1"/>
        <w:rPr>
          <w:rFonts w:ascii="黑体" w:hAnsi="黑体" w:eastAsia="黑体" w:cs="宋体"/>
          <w:bCs/>
          <w:kern w:val="0"/>
          <w:sz w:val="32"/>
          <w:szCs w:val="32"/>
        </w:rPr>
      </w:pPr>
      <w:bookmarkStart w:id="22" w:name="_Toc5810"/>
      <w:bookmarkStart w:id="23" w:name="_Toc7927"/>
      <w:r>
        <w:rPr>
          <w:rFonts w:hint="eastAsia" w:ascii="黑体" w:hAnsi="黑体" w:eastAsia="黑体" w:cs="宋体"/>
          <w:bCs/>
          <w:kern w:val="0"/>
          <w:sz w:val="32"/>
          <w:szCs w:val="32"/>
        </w:rPr>
        <w:t>八、政府性基金预算财政拨款收入支出决算情况说明</w:t>
      </w:r>
      <w:bookmarkEnd w:id="22"/>
      <w:bookmarkEnd w:id="23"/>
    </w:p>
    <w:p>
      <w:pPr>
        <w:ind w:firstLine="640" w:firstLineChars="200"/>
        <w:rPr>
          <w:rFonts w:hint="eastAsia" w:ascii="仿宋_GB2312" w:hAnsi="宋体" w:eastAsia="仿宋_GB2312"/>
          <w:kern w:val="0"/>
          <w:sz w:val="32"/>
          <w:szCs w:val="32"/>
          <w:lang w:eastAsia="zh-CN"/>
        </w:rPr>
      </w:pPr>
      <w:r>
        <w:rPr>
          <w:rFonts w:hint="eastAsia" w:ascii="仿宋_GB2312" w:hAnsi="宋体" w:eastAsia="仿宋_GB2312"/>
          <w:kern w:val="0"/>
          <w:sz w:val="32"/>
          <w:szCs w:val="32"/>
        </w:rPr>
        <w:t>我单位本年度无政府性基金预算财政拨款收入支出，政府性基金预算财政拨款收入支出决算表为空表</w:t>
      </w:r>
      <w:r>
        <w:rPr>
          <w:rFonts w:hint="eastAsia" w:ascii="仿宋_GB2312" w:hAnsi="宋体" w:eastAsia="仿宋_GB2312"/>
          <w:kern w:val="0"/>
          <w:sz w:val="32"/>
          <w:szCs w:val="32"/>
          <w:lang w:eastAsia="zh-CN"/>
        </w:rPr>
        <w:t>。</w:t>
      </w:r>
    </w:p>
    <w:p>
      <w:pPr>
        <w:ind w:firstLine="640" w:firstLineChars="200"/>
        <w:rPr>
          <w:rFonts w:ascii="仿宋_GB2312" w:eastAsia="仿宋_GB2312"/>
          <w:sz w:val="32"/>
          <w:szCs w:val="32"/>
        </w:rPr>
      </w:pPr>
      <w:r>
        <w:rPr>
          <w:rFonts w:hint="eastAsia" w:ascii="黑体" w:hAnsi="黑体" w:eastAsia="黑体" w:cs="宋体"/>
          <w:bCs/>
          <w:kern w:val="0"/>
          <w:sz w:val="32"/>
          <w:szCs w:val="32"/>
        </w:rPr>
        <w:t>九、国有资本经营预算财政拨款收入支出决算情况说明</w:t>
      </w:r>
    </w:p>
    <w:p>
      <w:pPr>
        <w:ind w:firstLine="640" w:firstLineChars="200"/>
        <w:rPr>
          <w:rFonts w:ascii="Arial" w:hAnsi="Arial" w:cs="Arial"/>
          <w:color w:val="4D4D4D"/>
          <w:shd w:val="clear" w:color="auto" w:fill="FFFFFF"/>
        </w:rPr>
      </w:pPr>
      <w:r>
        <w:rPr>
          <w:rFonts w:hint="eastAsia" w:ascii="仿宋_GB2312" w:eastAsia="仿宋_GB2312"/>
          <w:sz w:val="32"/>
          <w:szCs w:val="32"/>
        </w:rPr>
        <w:t>我单位本年度无国有资本经营预算财政拨款收入支出，国有资本经营预算财政拨款收入支出决算表为空表。</w:t>
      </w:r>
    </w:p>
    <w:p>
      <w:pPr>
        <w:ind w:firstLine="640" w:firstLineChars="200"/>
        <w:outlineLvl w:val="1"/>
        <w:rPr>
          <w:rFonts w:ascii="黑体" w:hAnsi="黑体" w:eastAsia="黑体" w:cs="宋体"/>
          <w:bCs/>
          <w:kern w:val="0"/>
          <w:sz w:val="32"/>
          <w:szCs w:val="32"/>
        </w:rPr>
      </w:pPr>
      <w:bookmarkStart w:id="24" w:name="_Toc1235"/>
      <w:bookmarkStart w:id="25" w:name="_Toc7314"/>
      <w:r>
        <w:rPr>
          <w:rFonts w:hint="eastAsia" w:ascii="黑体" w:hAnsi="黑体" w:eastAsia="黑体" w:cs="宋体"/>
          <w:bCs/>
          <w:kern w:val="0"/>
          <w:sz w:val="32"/>
          <w:szCs w:val="32"/>
        </w:rPr>
        <w:t>十、其他重要事项的情况说明</w:t>
      </w:r>
      <w:bookmarkEnd w:id="24"/>
      <w:bookmarkEnd w:id="25"/>
    </w:p>
    <w:p>
      <w:pPr>
        <w:ind w:firstLine="640" w:firstLineChars="200"/>
        <w:outlineLvl w:val="2"/>
        <w:rPr>
          <w:rFonts w:hint="eastAsia" w:ascii="黑体" w:hAnsi="黑体" w:eastAsia="黑体"/>
          <w:sz w:val="32"/>
          <w:szCs w:val="32"/>
        </w:rPr>
      </w:pPr>
      <w:bookmarkStart w:id="26" w:name="_Toc13105"/>
      <w:bookmarkStart w:id="27" w:name="_Toc14519"/>
      <w:r>
        <w:rPr>
          <w:rFonts w:hint="eastAsia" w:ascii="黑体" w:hAnsi="黑体" w:eastAsia="黑体"/>
          <w:sz w:val="32"/>
          <w:szCs w:val="32"/>
        </w:rPr>
        <w:t>（一）机关运行经费支出情况</w:t>
      </w:r>
      <w:bookmarkEnd w:id="26"/>
      <w:bookmarkEnd w:id="27"/>
    </w:p>
    <w:p>
      <w:pPr>
        <w:ind w:firstLine="640" w:firstLineChars="200"/>
        <w:outlineLvl w:val="2"/>
        <w:rPr>
          <w:rFonts w:ascii="黑体" w:hAnsi="黑体" w:eastAsia="黑体"/>
          <w:sz w:val="32"/>
          <w:szCs w:val="32"/>
        </w:rPr>
      </w:pPr>
      <w:r>
        <w:rPr>
          <w:rFonts w:hint="eastAsia" w:ascii="仿宋_GB2312" w:eastAsia="仿宋_GB2312"/>
          <w:sz w:val="32"/>
          <w:szCs w:val="32"/>
        </w:rPr>
        <w:t>2021年度新疆维吾尔自治区人民代表大会常务委员会办公厅(本级）（行政单位和参照公务员法管理事业单位）机关运行经费支出</w:t>
      </w:r>
      <w:r>
        <w:rPr>
          <w:rFonts w:ascii="仿宋_GB2312" w:eastAsia="仿宋_GB2312"/>
          <w:sz w:val="32"/>
          <w:szCs w:val="32"/>
        </w:rPr>
        <w:t>1,002.66</w:t>
      </w:r>
      <w:r>
        <w:rPr>
          <w:rFonts w:hint="eastAsia" w:ascii="仿宋_GB2312" w:eastAsia="仿宋_GB2312"/>
          <w:sz w:val="32"/>
          <w:szCs w:val="32"/>
        </w:rPr>
        <w:t>万元，比上年增加158.32万元，增长18.75%，主要原因是：本年度单位新增8辆公车，车辆运行维护费用支出增加。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黑体" w:hAnsi="黑体" w:eastAsia="黑体"/>
          <w:sz w:val="32"/>
          <w:szCs w:val="32"/>
        </w:rPr>
        <w:t>（二）政府采购情况</w:t>
      </w:r>
    </w:p>
    <w:p>
      <w:pPr>
        <w:ind w:firstLine="640" w:firstLineChars="200"/>
        <w:rPr>
          <w:rFonts w:ascii="仿宋_GB2312" w:eastAsia="仿宋_GB2312"/>
          <w:sz w:val="32"/>
          <w:szCs w:val="32"/>
        </w:rPr>
      </w:pPr>
      <w:r>
        <w:rPr>
          <w:rFonts w:hint="eastAsia" w:ascii="仿宋_GB2312" w:eastAsia="仿宋_GB2312"/>
          <w:sz w:val="32"/>
          <w:szCs w:val="32"/>
        </w:rPr>
        <w:t>2021年度政府采购支出总额</w:t>
      </w:r>
      <w:r>
        <w:rPr>
          <w:rFonts w:ascii="仿宋_GB2312" w:eastAsia="仿宋_GB2312"/>
          <w:sz w:val="32"/>
          <w:szCs w:val="32"/>
        </w:rPr>
        <w:t>851.73</w:t>
      </w:r>
      <w:r>
        <w:rPr>
          <w:rFonts w:hint="eastAsia" w:ascii="仿宋_GB2312" w:eastAsia="仿宋_GB2312"/>
          <w:sz w:val="32"/>
          <w:szCs w:val="32"/>
        </w:rPr>
        <w:t>万元，其中：政府采购货物支出</w:t>
      </w:r>
      <w:r>
        <w:rPr>
          <w:rFonts w:ascii="仿宋_GB2312" w:eastAsia="仿宋_GB2312"/>
          <w:sz w:val="32"/>
          <w:szCs w:val="32"/>
        </w:rPr>
        <w:t>413.41</w:t>
      </w:r>
      <w:r>
        <w:rPr>
          <w:rFonts w:hint="eastAsia" w:ascii="仿宋_GB2312" w:eastAsia="仿宋_GB2312"/>
          <w:sz w:val="32"/>
          <w:szCs w:val="32"/>
        </w:rPr>
        <w:t>万元、政府采购工程支出</w:t>
      </w:r>
      <w:r>
        <w:rPr>
          <w:rFonts w:ascii="仿宋_GB2312" w:eastAsia="仿宋_GB2312"/>
          <w:sz w:val="32"/>
          <w:szCs w:val="32"/>
        </w:rPr>
        <w:t>0.00</w:t>
      </w:r>
      <w:r>
        <w:rPr>
          <w:rFonts w:hint="eastAsia" w:ascii="仿宋_GB2312" w:eastAsia="仿宋_GB2312"/>
          <w:sz w:val="32"/>
          <w:szCs w:val="32"/>
        </w:rPr>
        <w:t>万元、政府采购服务支出</w:t>
      </w:r>
      <w:r>
        <w:rPr>
          <w:rFonts w:ascii="仿宋_GB2312" w:eastAsia="仿宋_GB2312"/>
          <w:sz w:val="32"/>
          <w:szCs w:val="32"/>
        </w:rPr>
        <w:t>438.33</w:t>
      </w:r>
      <w:r>
        <w:rPr>
          <w:rFonts w:hint="eastAsia" w:ascii="仿宋_GB2312" w:eastAsia="仿宋_GB2312"/>
          <w:sz w:val="32"/>
          <w:szCs w:val="32"/>
        </w:rPr>
        <w:t>万元。</w:t>
      </w:r>
    </w:p>
    <w:p>
      <w:pPr>
        <w:ind w:firstLine="640" w:firstLineChars="200"/>
        <w:rPr>
          <w:rFonts w:ascii="仿宋_GB2312" w:eastAsia="仿宋_GB2312"/>
          <w:sz w:val="32"/>
          <w:szCs w:val="32"/>
        </w:rPr>
      </w:pPr>
      <w:r>
        <w:rPr>
          <w:rFonts w:hint="eastAsia" w:ascii="仿宋_GB2312" w:eastAsia="仿宋_GB2312"/>
          <w:sz w:val="32"/>
          <w:szCs w:val="32"/>
        </w:rPr>
        <w:t>授予中小企业合同金额</w:t>
      </w:r>
      <w:r>
        <w:rPr>
          <w:rFonts w:ascii="仿宋_GB2312" w:eastAsia="仿宋_GB2312"/>
          <w:sz w:val="32"/>
          <w:szCs w:val="32"/>
        </w:rPr>
        <w:t>409.99</w:t>
      </w:r>
      <w:r>
        <w:rPr>
          <w:rFonts w:hint="eastAsia" w:ascii="仿宋_GB2312" w:eastAsia="仿宋_GB2312"/>
          <w:sz w:val="32"/>
          <w:szCs w:val="32"/>
        </w:rPr>
        <w:t>万元，占政府采购支出总额的</w:t>
      </w:r>
      <w:r>
        <w:rPr>
          <w:rFonts w:ascii="仿宋_GB2312" w:eastAsia="仿宋_GB2312"/>
          <w:sz w:val="32"/>
          <w:szCs w:val="32"/>
        </w:rPr>
        <w:t>48.14</w:t>
      </w:r>
      <w:r>
        <w:rPr>
          <w:rFonts w:hint="eastAsia" w:ascii="仿宋_GB2312" w:eastAsia="仿宋_GB2312"/>
          <w:sz w:val="32"/>
          <w:szCs w:val="32"/>
        </w:rPr>
        <w:t>%，其中：授予小微企业合同金额</w:t>
      </w:r>
      <w:r>
        <w:rPr>
          <w:rFonts w:ascii="仿宋_GB2312" w:eastAsia="仿宋_GB2312"/>
          <w:sz w:val="32"/>
          <w:szCs w:val="32"/>
        </w:rPr>
        <w:t>41.24</w:t>
      </w:r>
      <w:r>
        <w:rPr>
          <w:rFonts w:hint="eastAsia" w:ascii="仿宋_GB2312" w:eastAsia="仿宋_GB2312"/>
          <w:sz w:val="32"/>
          <w:szCs w:val="32"/>
        </w:rPr>
        <w:t>万元，占政府采购支出总额的</w:t>
      </w:r>
      <w:r>
        <w:rPr>
          <w:rFonts w:ascii="仿宋_GB2312" w:eastAsia="仿宋_GB2312"/>
          <w:sz w:val="32"/>
          <w:szCs w:val="32"/>
        </w:rPr>
        <w:t>4.84</w:t>
      </w:r>
      <w:r>
        <w:rPr>
          <w:rFonts w:hint="eastAsia" w:ascii="仿宋_GB2312" w:eastAsia="仿宋_GB2312"/>
          <w:sz w:val="32"/>
          <w:szCs w:val="32"/>
        </w:rPr>
        <w:t>%。</w:t>
      </w:r>
    </w:p>
    <w:p>
      <w:pPr>
        <w:ind w:firstLine="640" w:firstLineChars="200"/>
        <w:outlineLvl w:val="2"/>
        <w:rPr>
          <w:rFonts w:ascii="黑体" w:hAnsi="黑体" w:eastAsia="黑体"/>
          <w:sz w:val="32"/>
          <w:szCs w:val="32"/>
        </w:rPr>
      </w:pPr>
      <w:bookmarkStart w:id="28" w:name="_Toc8391"/>
      <w:bookmarkStart w:id="29" w:name="_Toc4591"/>
      <w:r>
        <w:rPr>
          <w:rFonts w:hint="eastAsia" w:ascii="黑体" w:hAnsi="黑体" w:eastAsia="黑体"/>
          <w:sz w:val="32"/>
          <w:szCs w:val="32"/>
        </w:rPr>
        <w:t>（三）国有资产占用情况说明</w:t>
      </w:r>
      <w:bookmarkEnd w:id="28"/>
      <w:bookmarkEnd w:id="29"/>
    </w:p>
    <w:p>
      <w:pPr>
        <w:ind w:firstLine="640" w:firstLineChars="200"/>
        <w:rPr>
          <w:rFonts w:ascii="仿宋_GB2312" w:eastAsia="仿宋_GB2312"/>
          <w:sz w:val="32"/>
          <w:szCs w:val="32"/>
        </w:rPr>
      </w:pPr>
      <w:r>
        <w:rPr>
          <w:rFonts w:hint="eastAsia" w:ascii="仿宋_GB2312" w:eastAsia="仿宋_GB2312"/>
          <w:sz w:val="32"/>
          <w:szCs w:val="32"/>
        </w:rPr>
        <w:t>截止2021年12月31日，单位共有房屋</w:t>
      </w:r>
      <w:r>
        <w:rPr>
          <w:rFonts w:ascii="仿宋_GB2312" w:eastAsia="仿宋_GB2312"/>
          <w:sz w:val="32"/>
          <w:szCs w:val="32"/>
        </w:rPr>
        <w:t>56,802.33</w:t>
      </w:r>
      <w:r>
        <w:rPr>
          <w:rFonts w:hint="eastAsia" w:ascii="仿宋_GB2312" w:eastAsia="仿宋_GB2312"/>
          <w:sz w:val="32"/>
          <w:szCs w:val="32"/>
        </w:rPr>
        <w:t>（平方米），价值</w:t>
      </w:r>
      <w:r>
        <w:rPr>
          <w:rFonts w:ascii="仿宋_GB2312" w:eastAsia="仿宋_GB2312"/>
          <w:sz w:val="32"/>
          <w:szCs w:val="32"/>
        </w:rPr>
        <w:t>7,069.61</w:t>
      </w:r>
      <w:r>
        <w:rPr>
          <w:rFonts w:hint="eastAsia" w:ascii="仿宋_GB2312" w:eastAsia="仿宋_GB2312"/>
          <w:sz w:val="32"/>
          <w:szCs w:val="32"/>
        </w:rPr>
        <w:t>万元。车辆</w:t>
      </w:r>
      <w:r>
        <w:rPr>
          <w:rFonts w:ascii="仿宋_GB2312" w:eastAsia="仿宋_GB2312"/>
          <w:sz w:val="32"/>
          <w:szCs w:val="32"/>
        </w:rPr>
        <w:t>111</w:t>
      </w:r>
      <w:r>
        <w:rPr>
          <w:rFonts w:hint="eastAsia" w:ascii="仿宋_GB2312" w:eastAsia="仿宋_GB2312"/>
          <w:sz w:val="32"/>
          <w:szCs w:val="32"/>
        </w:rPr>
        <w:t>辆，价值</w:t>
      </w:r>
      <w:r>
        <w:rPr>
          <w:rFonts w:ascii="仿宋_GB2312" w:eastAsia="仿宋_GB2312"/>
          <w:sz w:val="32"/>
          <w:szCs w:val="32"/>
        </w:rPr>
        <w:t>3,979.79</w:t>
      </w:r>
      <w:r>
        <w:rPr>
          <w:rFonts w:hint="eastAsia" w:ascii="仿宋_GB2312" w:eastAsia="仿宋_GB2312"/>
          <w:sz w:val="32"/>
          <w:szCs w:val="32"/>
        </w:rPr>
        <w:t>万元，其中：副部（省）级及以上领导用车38辆、主要领导干部用车35辆、机要通信用车</w:t>
      </w:r>
      <w:r>
        <w:rPr>
          <w:rFonts w:ascii="仿宋_GB2312" w:eastAsia="仿宋_GB2312"/>
          <w:sz w:val="32"/>
          <w:szCs w:val="32"/>
        </w:rPr>
        <w:t>1</w:t>
      </w:r>
      <w:r>
        <w:rPr>
          <w:rFonts w:hint="eastAsia" w:ascii="仿宋_GB2312" w:eastAsia="仿宋_GB2312"/>
          <w:sz w:val="32"/>
          <w:szCs w:val="32"/>
        </w:rPr>
        <w:t>辆、应急保障用车</w:t>
      </w:r>
      <w:r>
        <w:rPr>
          <w:rFonts w:ascii="仿宋_GB2312" w:eastAsia="仿宋_GB2312"/>
          <w:sz w:val="32"/>
          <w:szCs w:val="32"/>
        </w:rPr>
        <w:t>0</w:t>
      </w:r>
      <w:r>
        <w:rPr>
          <w:rFonts w:hint="eastAsia" w:ascii="仿宋_GB2312" w:eastAsia="仿宋_GB2312"/>
          <w:sz w:val="32"/>
          <w:szCs w:val="32"/>
        </w:rPr>
        <w:t>辆、执法执勤用车</w:t>
      </w:r>
      <w:r>
        <w:rPr>
          <w:rFonts w:ascii="仿宋_GB2312" w:eastAsia="仿宋_GB2312"/>
          <w:sz w:val="32"/>
          <w:szCs w:val="32"/>
        </w:rPr>
        <w:t>0</w:t>
      </w:r>
      <w:r>
        <w:rPr>
          <w:rFonts w:hint="eastAsia" w:ascii="仿宋_GB2312" w:eastAsia="仿宋_GB2312"/>
          <w:sz w:val="32"/>
          <w:szCs w:val="32"/>
        </w:rPr>
        <w:t>辆、特种专业技术用车</w:t>
      </w:r>
      <w:r>
        <w:rPr>
          <w:rFonts w:ascii="仿宋_GB2312" w:eastAsia="仿宋_GB2312"/>
          <w:sz w:val="32"/>
          <w:szCs w:val="32"/>
        </w:rPr>
        <w:t>0</w:t>
      </w:r>
      <w:r>
        <w:rPr>
          <w:rFonts w:hint="eastAsia" w:ascii="仿宋_GB2312" w:eastAsia="仿宋_GB2312"/>
          <w:sz w:val="32"/>
          <w:szCs w:val="32"/>
        </w:rPr>
        <w:t>辆、离退休干部用车</w:t>
      </w:r>
      <w:r>
        <w:rPr>
          <w:rFonts w:ascii="仿宋_GB2312" w:eastAsia="仿宋_GB2312"/>
          <w:sz w:val="32"/>
          <w:szCs w:val="32"/>
        </w:rPr>
        <w:t>2</w:t>
      </w:r>
      <w:r>
        <w:rPr>
          <w:rFonts w:hint="eastAsia" w:ascii="仿宋_GB2312" w:eastAsia="仿宋_GB2312"/>
          <w:sz w:val="32"/>
          <w:szCs w:val="32"/>
        </w:rPr>
        <w:t>辆、其他用车</w:t>
      </w:r>
      <w:r>
        <w:rPr>
          <w:rFonts w:ascii="仿宋_GB2312" w:eastAsia="仿宋_GB2312"/>
          <w:sz w:val="32"/>
          <w:szCs w:val="32"/>
        </w:rPr>
        <w:t>35</w:t>
      </w:r>
      <w:r>
        <w:rPr>
          <w:rFonts w:hint="eastAsia" w:ascii="仿宋_GB2312" w:eastAsia="仿宋_GB2312"/>
          <w:sz w:val="32"/>
          <w:szCs w:val="32"/>
        </w:rPr>
        <w:t>辆，其他用车主要是：机关公务用车；单位价值50万元以上通用设备</w:t>
      </w:r>
      <w:r>
        <w:rPr>
          <w:rFonts w:ascii="仿宋_GB2312" w:eastAsia="仿宋_GB2312"/>
          <w:sz w:val="32"/>
          <w:szCs w:val="32"/>
        </w:rPr>
        <w:t>15</w:t>
      </w:r>
      <w:r>
        <w:rPr>
          <w:rFonts w:hint="eastAsia" w:ascii="仿宋_GB2312" w:eastAsia="仿宋_GB2312"/>
          <w:sz w:val="32"/>
          <w:szCs w:val="32"/>
        </w:rPr>
        <w:t>台（套）、单位价值100万元以上专用设备</w:t>
      </w:r>
      <w:r>
        <w:rPr>
          <w:rFonts w:ascii="仿宋_GB2312" w:eastAsia="仿宋_GB2312"/>
          <w:sz w:val="32"/>
          <w:szCs w:val="32"/>
        </w:rPr>
        <w:t>1</w:t>
      </w:r>
      <w:r>
        <w:rPr>
          <w:rFonts w:hint="eastAsia" w:ascii="仿宋_GB2312" w:eastAsia="仿宋_GB2312"/>
          <w:sz w:val="32"/>
          <w:szCs w:val="32"/>
        </w:rPr>
        <w:t>台（套）。</w:t>
      </w:r>
    </w:p>
    <w:p>
      <w:pPr>
        <w:ind w:firstLine="640" w:firstLineChars="200"/>
        <w:outlineLvl w:val="1"/>
        <w:rPr>
          <w:rFonts w:ascii="黑体" w:hAnsi="黑体" w:eastAsia="黑体" w:cs="宋体"/>
          <w:bCs/>
          <w:kern w:val="0"/>
          <w:sz w:val="32"/>
          <w:szCs w:val="32"/>
        </w:rPr>
      </w:pPr>
      <w:bookmarkStart w:id="30" w:name="_Toc11283"/>
      <w:bookmarkStart w:id="31" w:name="_Toc435"/>
      <w:r>
        <w:rPr>
          <w:rFonts w:hint="eastAsia" w:ascii="黑体" w:hAnsi="黑体" w:eastAsia="黑体" w:cs="宋体"/>
          <w:bCs/>
          <w:kern w:val="0"/>
          <w:sz w:val="32"/>
          <w:szCs w:val="32"/>
        </w:rPr>
        <w:t>十一、预算绩效的情况说明</w:t>
      </w:r>
      <w:bookmarkEnd w:id="30"/>
      <w:bookmarkEnd w:id="31"/>
    </w:p>
    <w:p>
      <w:pPr>
        <w:pStyle w:val="9"/>
        <w:widowControl/>
        <w:shd w:val="clear" w:color="auto" w:fill="FFFFFF"/>
        <w:ind w:firstLine="640" w:firstLineChars="200"/>
        <w:rPr>
          <w:rFonts w:hint="default" w:ascii="仿宋_GB2312" w:eastAsia="仿宋_GB2312"/>
          <w:sz w:val="32"/>
          <w:szCs w:val="32"/>
        </w:rPr>
      </w:pPr>
      <w:r>
        <w:rPr>
          <w:rFonts w:ascii="仿宋_GB2312" w:eastAsia="仿宋_GB2312"/>
          <w:sz w:val="32"/>
          <w:szCs w:val="32"/>
        </w:rPr>
        <w:t>根据预算绩效管理要求，我单位2021年度开展预算绩效评价项目10个，共涉及资金3798.38万元。预算绩效管理取得的成效：一是加强制度建设，打牢绩效管理工作基础。二是开展绩效评价，提高绩效工作管理水平。三是绩效管理制度进一步完善，提高了财政资金使用效益，保障部门更好履行职责。发现的问题及原因：一是全过程预算绩效管理制度体系不健全。二是预算单位财会人员的综合能力还未达到绩效目标编制工作的需求，绩效管理专业人员匮乏，规范管理有盲点。下一步改进措施：一是加强宣传引导，强化绩效观念。让主要领导及时掌握预算绩效管理的推进情况、实际效果和存在的问题，以利于及时作出决策，支持并帮助解决工作中出现的困难和问题。二是加强队伍建设，通过多种形式开展业务培训加强预算绩效管理专业人才队伍建设，促进对绩效管理专业知识学习的积极性，从而提高绩效管理工作能力。具体项目自评情况附项目支出绩效自评表。</w:t>
      </w:r>
    </w:p>
    <w:p>
      <w:pPr>
        <w:rPr>
          <w:rFonts w:ascii="仿宋_GB2312" w:eastAsia="仿宋_GB2312"/>
          <w:sz w:val="32"/>
          <w:szCs w:val="32"/>
        </w:rPr>
      </w:pPr>
      <w:r>
        <w:rPr>
          <w:rFonts w:ascii="仿宋_GB2312" w:eastAsia="仿宋_GB2312"/>
          <w:sz w:val="32"/>
          <w:szCs w:val="32"/>
        </w:rPr>
        <w:br w:type="page"/>
      </w:r>
    </w:p>
    <w:bookmarkEnd w:id="0"/>
    <w:tbl>
      <w:tblPr>
        <w:tblStyle w:val="10"/>
        <w:tblW w:w="10440" w:type="dxa"/>
        <w:tblInd w:w="-8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0"/>
        <w:gridCol w:w="795"/>
        <w:gridCol w:w="60"/>
        <w:gridCol w:w="1140"/>
        <w:gridCol w:w="1260"/>
        <w:gridCol w:w="525"/>
        <w:gridCol w:w="720"/>
        <w:gridCol w:w="405"/>
        <w:gridCol w:w="1200"/>
        <w:gridCol w:w="1065"/>
        <w:gridCol w:w="750"/>
        <w:gridCol w:w="930"/>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0440"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440"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910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常委会委员考察、调研经费、各工作委员会业务、天山环保世纪行、信访督办等专项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52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7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33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3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3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3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上年结转资金</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3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610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38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05"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人大常委会工作要点，组织对财政经济、科教文化、环境保护、民族宗教、农业等各方面的法律、法规和自治区人大常委会决议的执行情况对14个地州进行检查，对各部门的执法情况进行视察、调查和评议；参与自治区政治、法律、经济、农业、文化、教育、环境、民族宗教等重大事项的调研意见和建议及督办工作，真正履行各工作委员会立法、监督职能。每年组织天山环保世纪行活动，成立执法检查组进行检查。按照《国务院信访条例》每年安排信访督办工作。</w:t>
            </w:r>
          </w:p>
        </w:tc>
        <w:tc>
          <w:tcPr>
            <w:tcW w:w="385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人大常委会工作要点，组织对财政经济、科教文化、环境保护、民族宗教、农业等各方面的法律、法规和自治区人大常委会决议的执行情况对14个地州进行检查，对各部门的执法情况进行视察、调查和评议；参与自治区政治、法律、经济、农业、文化、教育、环境、民族宗教等重大事项的调研意见和建议及督办工作，真正履行各工作委员会立法、监督职能。组织天山环保世纪行活动，成立执法检查组进行检查。按照《国务院信访条例》每年安排信访督办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2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7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1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考察范围</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=14个地州</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=14个地州</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天山世纪行检查次数</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完成检查报告数量</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=1份</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=1份</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来访人员问题解决率</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检查覆盖面</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检查完成率</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检查任务按时完成率</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信访督办专项经费</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调查研究经费保障</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办公经费</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执法检查活动经费保障</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问题整改落实率</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≧80%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来访人员满意度</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100分</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nil"/>
              <w:bottom w:val="nil"/>
              <w:right w:val="nil"/>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45" w:type="dxa"/>
            <w:gridSpan w:val="4"/>
            <w:tcBorders>
              <w:top w:val="single" w:color="000000" w:sz="4" w:space="0"/>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670" w:type="dxa"/>
            <w:gridSpan w:val="3"/>
            <w:tcBorders>
              <w:top w:val="single" w:color="000000" w:sz="4" w:space="0"/>
              <w:left w:val="nil"/>
              <w:bottom w:val="nil"/>
              <w:right w:val="nil"/>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790" w:type="dxa"/>
            <w:gridSpan w:val="3"/>
            <w:tcBorders>
              <w:top w:val="single" w:color="000000" w:sz="4" w:space="0"/>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br w:type="page"/>
      </w:r>
    </w:p>
    <w:tbl>
      <w:tblPr>
        <w:tblStyle w:val="10"/>
        <w:tblW w:w="11011" w:type="dxa"/>
        <w:tblInd w:w="-8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0"/>
        <w:gridCol w:w="705"/>
        <w:gridCol w:w="150"/>
        <w:gridCol w:w="1275"/>
        <w:gridCol w:w="1125"/>
        <w:gridCol w:w="675"/>
        <w:gridCol w:w="570"/>
        <w:gridCol w:w="480"/>
        <w:gridCol w:w="1005"/>
        <w:gridCol w:w="1185"/>
        <w:gridCol w:w="750"/>
        <w:gridCol w:w="945"/>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0440"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440"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910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房屋出租出借成本性支出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51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7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33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上年结转资金</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59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39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85"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资金全部用于房屋出租出借的成本性支出，其中包括维护出租房屋所需的修理费、维护费，该专项资金全部用于房屋出租出借成本性支出，资金使用管理严格执行审批程序，实行专款专用，资金管理符合相关规定和财务管理制度。为保障国有资产的正常运转，定期对人大机关正常出租出借房产进行定期维护，全年预计维护费用18万元。</w:t>
            </w:r>
          </w:p>
        </w:tc>
        <w:tc>
          <w:tcPr>
            <w:tcW w:w="397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资金全部用于房屋出租出借的成本性支出，其中包括维护出租房屋所需的修理费、维护费，该专项资金全部用于房屋出租出借成本性支出，资金使用管理严格执行审批程序，实行专款专用，资金管理符合相关规定和财务管理制度。为保障国有资产的正常运转，定期对人大机关正常出租出借房产进行定期维护，全年维护费用18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4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8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0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6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房屋出租数量</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=10间</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房屋维护数量</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=10间</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房屋维护次数</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=4次</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收房租次数</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一年1次</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一年1次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房屋维护率</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房屋出租率</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&gt;=50%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出租房屋维修维护成本控制</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房屋出租出借效益</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&gt;=20万元</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房屋承租人满意度</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&gt;=80%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46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tbl>
      <w:tblPr>
        <w:tblStyle w:val="10"/>
        <w:tblW w:w="11415" w:type="dxa"/>
        <w:tblInd w:w="-8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750"/>
        <w:gridCol w:w="1020"/>
        <w:gridCol w:w="1065"/>
        <w:gridCol w:w="1500"/>
        <w:gridCol w:w="777"/>
        <w:gridCol w:w="363"/>
        <w:gridCol w:w="1155"/>
        <w:gridCol w:w="561"/>
        <w:gridCol w:w="84"/>
        <w:gridCol w:w="630"/>
        <w:gridCol w:w="469"/>
        <w:gridCol w:w="249"/>
        <w:gridCol w:w="197"/>
        <w:gridCol w:w="39"/>
        <w:gridCol w:w="519"/>
        <w:gridCol w:w="297"/>
        <w:gridCol w:w="274"/>
        <w:gridCol w:w="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05" w:hRule="atLeast"/>
        </w:trPr>
        <w:tc>
          <w:tcPr>
            <w:tcW w:w="10425" w:type="dxa"/>
            <w:gridSpan w:val="1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0425" w:type="dxa"/>
            <w:gridSpan w:val="1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89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公务保障用车购置资金2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47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4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90" w:type="dxa"/>
          <w:trHeight w:val="480" w:hRule="atLeast"/>
        </w:trPr>
        <w:tc>
          <w:tcPr>
            <w:tcW w:w="15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28.00</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上年结转资金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54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42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56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75"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保障省级领导公务出行，公务活动，确保全年工作任务顺利完成。</w:t>
            </w:r>
          </w:p>
        </w:tc>
        <w:tc>
          <w:tcPr>
            <w:tcW w:w="4200"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保障省级领导公务出行，公务活动，全年工作任务顺利完成。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5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1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6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0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301"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1"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保险缴费</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=1次</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1次</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车辆购置税</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=1次</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1次</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保养</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&gt;=2次</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2次</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购置数量</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=1辆</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1辆</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购置合格率</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政府采购率</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全时段保障率</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购置费用</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=28万元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28万元</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保障公务出行率</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保障行车安全</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100分</w:t>
            </w:r>
          </w:p>
        </w:tc>
        <w:tc>
          <w:tcPr>
            <w:tcW w:w="13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6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5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7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079" w:type="dxa"/>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14"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6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36"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1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71"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1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br w:type="page"/>
      </w:r>
    </w:p>
    <w:tbl>
      <w:tblPr>
        <w:tblStyle w:val="10"/>
        <w:tblW w:w="11415" w:type="dxa"/>
        <w:tblInd w:w="-8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750"/>
        <w:gridCol w:w="1020"/>
        <w:gridCol w:w="1065"/>
        <w:gridCol w:w="1140"/>
        <w:gridCol w:w="1137"/>
        <w:gridCol w:w="78"/>
        <w:gridCol w:w="1185"/>
        <w:gridCol w:w="816"/>
        <w:gridCol w:w="84"/>
        <w:gridCol w:w="630"/>
        <w:gridCol w:w="300"/>
        <w:gridCol w:w="418"/>
        <w:gridCol w:w="197"/>
        <w:gridCol w:w="39"/>
        <w:gridCol w:w="519"/>
        <w:gridCol w:w="297"/>
        <w:gridCol w:w="274"/>
        <w:gridCol w:w="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05" w:hRule="atLeast"/>
        </w:trPr>
        <w:tc>
          <w:tcPr>
            <w:tcW w:w="10425" w:type="dxa"/>
            <w:gridSpan w:val="1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0425" w:type="dxa"/>
            <w:gridSpan w:val="1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89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基层人大补助经费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44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4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90" w:type="dxa"/>
          <w:trHeight w:val="480" w:hRule="atLeast"/>
        </w:trPr>
        <w:tc>
          <w:tcPr>
            <w:tcW w:w="15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1300.00</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1300.00</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上年结转资金</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51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448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134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90"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自治区人民政府2020年第7次研究财经专题会议纪要关于提高自治区人大基层补助经费至每年1300万元，做好新时代新疆人大工作，对贫困县市及有困难县市资金予以倾斜，对承担工作任务重的地区加大资金扶持力度，基层人大补助经费用于逐步完成各基层各级人大办公条件的改善。</w:t>
            </w:r>
          </w:p>
        </w:tc>
        <w:tc>
          <w:tcPr>
            <w:tcW w:w="4485"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自治区人民政府2020年第7次研究财经专题会议纪要关于提高自治区人大基层补助经费至每年1300万元，做好新时代新疆人大工作，对贫困县市及有困难县市资金予以倾斜，对承担工作任务重的地区加大资金扶持力度，基层人大补助经费用于逐步完成各基层各级人大办公条件的改善。已全部拨付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2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2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9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47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补助地州市单位数量</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=14个</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拨付补助经费次数</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=2次</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补助县市区级单位数量</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=86个</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拨付地州单位完成率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拨付县市区级单位完成率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按期拨付完成率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1005</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一般县补助金额</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=768万元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768</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贫困县补助金额</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地州人大工委补助金额</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提高各基层人大代表履职能力</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有所提升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改善各基层人大工作环境</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明显改善</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各基层人大工委对于补助经费到位情况满意度</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12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100分</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6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4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3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079" w:type="dxa"/>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14"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1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36"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1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71"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1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br w:type="page"/>
      </w:r>
    </w:p>
    <w:tbl>
      <w:tblPr>
        <w:tblStyle w:val="10"/>
        <w:tblW w:w="11415" w:type="dxa"/>
        <w:tblInd w:w="-8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750"/>
        <w:gridCol w:w="1020"/>
        <w:gridCol w:w="1065"/>
        <w:gridCol w:w="1140"/>
        <w:gridCol w:w="1137"/>
        <w:gridCol w:w="78"/>
        <w:gridCol w:w="1185"/>
        <w:gridCol w:w="816"/>
        <w:gridCol w:w="84"/>
        <w:gridCol w:w="630"/>
        <w:gridCol w:w="300"/>
        <w:gridCol w:w="418"/>
        <w:gridCol w:w="197"/>
        <w:gridCol w:w="39"/>
        <w:gridCol w:w="519"/>
        <w:gridCol w:w="297"/>
        <w:gridCol w:w="274"/>
        <w:gridCol w:w="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05" w:hRule="atLeast"/>
        </w:trPr>
        <w:tc>
          <w:tcPr>
            <w:tcW w:w="10425" w:type="dxa"/>
            <w:gridSpan w:val="1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0425" w:type="dxa"/>
            <w:gridSpan w:val="1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89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立法经费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44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4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90" w:type="dxa"/>
          <w:trHeight w:val="480" w:hRule="atLeast"/>
        </w:trPr>
        <w:tc>
          <w:tcPr>
            <w:tcW w:w="15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 </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上年结转资金</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51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448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16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90"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人大将以新思想引领新时代地方立法工作，进一步加强党对立法工作的领导，充分发挥人大在立法中的主导作用，贯彻落实自治区五年立法规划，研究和部署当前和今后五年的地方立法工作，不断提升自治区地方立法工作上一个新台阶。编制五年立法规划和拟定年度立法计划，常委会经过两次审议通过。负责法规草案的立法调研、论证修改工作，组织研究指导，总结交流立法经验。</w:t>
            </w:r>
          </w:p>
        </w:tc>
        <w:tc>
          <w:tcPr>
            <w:tcW w:w="4485"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人大将以新思想引领新时代地方立法工作，进一步加强党对立法工作的领导，充分发挥人大在立法中的主导作用，贯彻落实自治区五年立法规划，研究和部署当前和今后五年的地方立法工作，不断提升自治区地方立法工作上一个新台阶。编制五年立法规划和拟定年度立法计划，常委会经过两次审议通过。负责法规草案的立法调研、论证修改工作，组织研究指导，总结交流立法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2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2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9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47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拟提请审议的法规案</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=16件</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拟报批法规数量</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=20件</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拟调研论证的法规案</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=11件</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拟批准决定</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=20件</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拟审议法规案</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审议次数</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拟调研论证法规案完成率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拟审议法规案完成率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拟报批法规完成率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完成审议、报批、论证法规案质量</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立法办公费</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50万元</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立法资料印刷</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15万元</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调研车辆费用</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15万元</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地方性法规和条例覆盖范围</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覆盖全区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人民群众满意度</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12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100分</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6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4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3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079" w:type="dxa"/>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14"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1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36"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1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71"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1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br w:type="page"/>
      </w:r>
    </w:p>
    <w:tbl>
      <w:tblPr>
        <w:tblStyle w:val="10"/>
        <w:tblW w:w="11415" w:type="dxa"/>
        <w:tblInd w:w="-8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750"/>
        <w:gridCol w:w="1020"/>
        <w:gridCol w:w="1065"/>
        <w:gridCol w:w="1140"/>
        <w:gridCol w:w="1137"/>
        <w:gridCol w:w="78"/>
        <w:gridCol w:w="1185"/>
        <w:gridCol w:w="816"/>
        <w:gridCol w:w="84"/>
        <w:gridCol w:w="630"/>
        <w:gridCol w:w="300"/>
        <w:gridCol w:w="418"/>
        <w:gridCol w:w="197"/>
        <w:gridCol w:w="39"/>
        <w:gridCol w:w="519"/>
        <w:gridCol w:w="297"/>
        <w:gridCol w:w="274"/>
        <w:gridCol w:w="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05" w:hRule="atLeast"/>
        </w:trPr>
        <w:tc>
          <w:tcPr>
            <w:tcW w:w="10425" w:type="dxa"/>
            <w:gridSpan w:val="1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0425" w:type="dxa"/>
            <w:gridSpan w:val="1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89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年度常委会、《人大公报》印刷发行费等专项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90" w:type="dxa"/>
          <w:trHeight w:val="27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44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4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90" w:type="dxa"/>
          <w:trHeight w:val="480" w:hRule="atLeast"/>
        </w:trPr>
        <w:tc>
          <w:tcPr>
            <w:tcW w:w="15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150.00</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150.00</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上年结转资金</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51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448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156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90"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资金主要用于按照宪法和地方组织法规定每两个月召开一次的人大常务委员会，常委会通过的地方性法规和决议、决定需按公报的形式公布执行，产生《人大公报》发行费、并按要求做好全国人民代表大会宣传报道工作。该项目属于经常性支出项目，属于常委会、《人大公报》全国人大记者、卫星传送等专项经费，使用过程中严格按照财政规章制度执行。</w:t>
            </w:r>
          </w:p>
        </w:tc>
        <w:tc>
          <w:tcPr>
            <w:tcW w:w="4485"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资金主要用于按照宪法和地方组织法规定每两个月召开一次的人大常务委员会，常委会通过的地方性法规和决议、决定需按公报的形式公布执行，产生《人大公报》发行费、并按要求做好全国人民代表大会宣传报道工作。该项目属于经常性支出项目，属于常委会、《人大公报》全国人大记者、卫星传送等专项经费，使用过程中严格按照财政规章制度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2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2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9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47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人大公报汉文每期份数</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=1700份/每年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=1700份/每年</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人大公报维文每期份数</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=1500份</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=1500份</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人大公报每期印刷份数</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=3200份</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=3200份</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全国人民代表大会宣传报道次数</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=4次/每年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=4次/每年</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人大常委会召开次数</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=6次/每年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=6次/每年</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《人大公报》覆盖范围</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=14个地州</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=14个地州</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宣传报道率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《人大公报》覆盖率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会议按期完成率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《人大公报》发行费用</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=15万元</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常委会召开费用</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=90万元</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全国人大记者、卫星传送费的成本节约率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宣传报道费用</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=45万元</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《人大公报》续订率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&gt;=80%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参会人员满意度</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12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100分</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6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4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3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079" w:type="dxa"/>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14"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1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36"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1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71"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1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br w:type="page"/>
      </w:r>
    </w:p>
    <w:tbl>
      <w:tblPr>
        <w:tblStyle w:val="10"/>
        <w:tblW w:w="11415" w:type="dxa"/>
        <w:tblInd w:w="-8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750"/>
        <w:gridCol w:w="1020"/>
        <w:gridCol w:w="1065"/>
        <w:gridCol w:w="1140"/>
        <w:gridCol w:w="1137"/>
        <w:gridCol w:w="78"/>
        <w:gridCol w:w="1185"/>
        <w:gridCol w:w="816"/>
        <w:gridCol w:w="84"/>
        <w:gridCol w:w="630"/>
        <w:gridCol w:w="300"/>
        <w:gridCol w:w="418"/>
        <w:gridCol w:w="197"/>
        <w:gridCol w:w="39"/>
        <w:gridCol w:w="519"/>
        <w:gridCol w:w="297"/>
        <w:gridCol w:w="274"/>
        <w:gridCol w:w="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05" w:hRule="atLeast"/>
        </w:trPr>
        <w:tc>
          <w:tcPr>
            <w:tcW w:w="10425" w:type="dxa"/>
            <w:gridSpan w:val="1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0425" w:type="dxa"/>
            <w:gridSpan w:val="1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89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人大代表活动视察经费、人大干部和法制培训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990" w:type="dxa"/>
          <w:trHeight w:val="27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44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4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90" w:type="dxa"/>
          <w:trHeight w:val="480" w:hRule="atLeast"/>
        </w:trPr>
        <w:tc>
          <w:tcPr>
            <w:tcW w:w="15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240.00</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240.00</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990" w:type="dxa"/>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上年结转资金</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51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448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16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90"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代表承载着党和人民的重托，依法行使着管理国家事务的权利，人大代表是人民代表大会的主体，是党和国家联系人民群众的重要桥梁和纽带，是做好人大工作必须紧紧依靠的重要力量。新疆地域辽阔,开展代表活动地区跨度大,加之目前从全国人大到自治区人大领导要求要更加充分发挥代表主体作用,丰富代表必会期间各项活动。550名人大代表行使职权、履行义务、发挥作用需240万元资金保障，主要用于代表培训、视察调研、公车运行保障、劳务差旅等。</w:t>
            </w:r>
          </w:p>
        </w:tc>
        <w:tc>
          <w:tcPr>
            <w:tcW w:w="4485"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代表承载着党和人民的重托，依法行使着管理国家事务的权利，人大代表是人民代表大会的主体，是党和国家联系人民群众的重要桥梁和纽带，是做好人大工作必须紧紧依靠的重要力量。新疆地域辽阔,开展代表活动地区跨度大,加之目前从全国人大到自治区人大领导要求要更加充分发挥代表主体作用,丰富代表必会期间各项活动。550名人大代表行使职权、履行义务、发挥作用需240万元资金保障，主要用于代表培训、视察调研、公车运行保障、劳务差旅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990" w:type="dxa"/>
          <w:trHeight w:val="27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2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2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9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47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举办各级人大代表专题培训班</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6期</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人大代表专题培训班天数</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=5天</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5天</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人大代表数量</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550人</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代表履职培训班</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4期</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人大代表专题培训班参加人数</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=100-120人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115人</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专题培训班举办率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代表履职培训班举办率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项目按期完成率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人大代表视察调研经费保障</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115万元</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调研车辆保障经费</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46万元</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办公经费保障</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49万元</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干部培训经费</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30万元</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人大代表履职能力</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得到显著提升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接受培训的人大代表、人大干部满意度</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12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100分</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7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6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4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3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079" w:type="dxa"/>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14"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1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36"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1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71"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1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br w:type="page"/>
      </w:r>
    </w:p>
    <w:tbl>
      <w:tblPr>
        <w:tblStyle w:val="10"/>
        <w:tblW w:w="11415" w:type="dxa"/>
        <w:tblInd w:w="-8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750"/>
        <w:gridCol w:w="1020"/>
        <w:gridCol w:w="1065"/>
        <w:gridCol w:w="1140"/>
        <w:gridCol w:w="1137"/>
        <w:gridCol w:w="78"/>
        <w:gridCol w:w="1185"/>
        <w:gridCol w:w="816"/>
        <w:gridCol w:w="84"/>
        <w:gridCol w:w="630"/>
        <w:gridCol w:w="300"/>
        <w:gridCol w:w="418"/>
        <w:gridCol w:w="197"/>
        <w:gridCol w:w="39"/>
        <w:gridCol w:w="519"/>
        <w:gridCol w:w="297"/>
        <w:gridCol w:w="274"/>
        <w:gridCol w:w="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05" w:hRule="atLeast"/>
        </w:trPr>
        <w:tc>
          <w:tcPr>
            <w:tcW w:w="10425" w:type="dxa"/>
            <w:gridSpan w:val="1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0425" w:type="dxa"/>
            <w:gridSpan w:val="1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89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人大机关行政运行、省级领导、秘书长、法律法规翻译、专题宣传及人大开放日活动等专项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44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4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90" w:type="dxa"/>
          <w:trHeight w:val="480" w:hRule="atLeast"/>
        </w:trPr>
        <w:tc>
          <w:tcPr>
            <w:tcW w:w="15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720.00</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1112.18</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1112.18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上年结转资金</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392.18</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392.18</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51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448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194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90"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人大工作的大局、中心工作就是贯彻落实以习近平同志为核心的党中央治疆方略，实现社会稳定和长治久安总目标，坚定坚决地把自治区党委聚焦总目标、打好组合拳和“1+3+3+改革开放”工作部署贯彻落实到人大各项工作中，全面贯彻党中央和自治区党委重大决策、重要会议、重要文件、重要指示精神。该项目经费用以保障人大机关全年整体运行、按照规定对国家和地方出台的法律法规进行翻译审定，保障机关聘用人员工资及社会保障缴费,及人大机关办公楼设施日常维护等。</w:t>
            </w:r>
          </w:p>
        </w:tc>
        <w:tc>
          <w:tcPr>
            <w:tcW w:w="4485"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人大工作的大局、中心工作就是贯彻落实以习近平同志为核心的党中央治疆方略，实现社会稳定和长治久安总目标，坚定坚决地把自治区党委聚焦总目标、打好组合拳和“1+3+3+改革开放”工作部署贯彻落实到人大各项工作中，全面贯彻党中央和自治区党委重大决策、重要会议、重要文件、重要指示精神。该项目经费用以保障人大机关全年整体运行、按照规定对国家和地方出台的法律法规进行翻译审定，保障机关聘用人员工资及社会保障缴费,及人大机关办公楼设施日常维护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2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2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9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47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人大开放日活动</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&gt;=2次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&gt;=2次</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机关办公楼采暖面积</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&gt;=24000平方米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&gt;=24000平方米</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省级领导不用专车人数</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=2人</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法律法规译文审读件数</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=-230部</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=-230部</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机关临时工人数</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=92人</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项目完成数</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机关离退休老干部人数</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=240人</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项目合格率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资金发放及时性</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项目按期完成率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省级领导不用专车补助标准</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=10万元</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工伤人员补助额</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=5万元</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办公差旅印刷经费保障支出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=365万元</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发放临时工工资总额</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=340万元</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人大宣传工作</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范围扩大</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扩大</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退休老干部参加活动满意度</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90%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12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100分</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6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4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3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079" w:type="dxa"/>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14"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1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36"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1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71"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1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br w:type="page"/>
      </w:r>
    </w:p>
    <w:tbl>
      <w:tblPr>
        <w:tblStyle w:val="10"/>
        <w:tblW w:w="11415" w:type="dxa"/>
        <w:tblInd w:w="-8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750"/>
        <w:gridCol w:w="1020"/>
        <w:gridCol w:w="1065"/>
        <w:gridCol w:w="1140"/>
        <w:gridCol w:w="1137"/>
        <w:gridCol w:w="78"/>
        <w:gridCol w:w="1185"/>
        <w:gridCol w:w="816"/>
        <w:gridCol w:w="84"/>
        <w:gridCol w:w="630"/>
        <w:gridCol w:w="300"/>
        <w:gridCol w:w="418"/>
        <w:gridCol w:w="197"/>
        <w:gridCol w:w="39"/>
        <w:gridCol w:w="519"/>
        <w:gridCol w:w="297"/>
        <w:gridCol w:w="274"/>
        <w:gridCol w:w="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05" w:hRule="atLeast"/>
        </w:trPr>
        <w:tc>
          <w:tcPr>
            <w:tcW w:w="10425" w:type="dxa"/>
            <w:gridSpan w:val="1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0425" w:type="dxa"/>
            <w:gridSpan w:val="1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89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新疆人大理论研究会课题经费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44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4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90" w:type="dxa"/>
          <w:trHeight w:val="480" w:hRule="atLeast"/>
        </w:trPr>
        <w:tc>
          <w:tcPr>
            <w:tcW w:w="15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53.00</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53.00</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94.55%</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上年结转资金</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51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448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16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90"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党的十九大和十九届四次全会精神为指导，贯彻习近平总书记关于坚持和完善人民代表大会的重要思想，紧紧围绕社会稳定和长治久安总目标，围绕自治区人大工作重点，认真落实自治区人大常委会党组对理论研究会的工作要求，研究新情况新问题，深化对人大工作规律和人大自身建设适应新形势新要求的研究。为了保障此项工作的正常开展，全年需开展20个以上的课题开展专题调研，邀请专家进行评审，并对研究成果汇编成册。</w:t>
            </w:r>
          </w:p>
        </w:tc>
        <w:tc>
          <w:tcPr>
            <w:tcW w:w="4485"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党的十九大和十九届四次全会精神为指导，贯彻习近平总书记关于坚持和完善人民代表大会的重要思想，紧紧围绕社会稳定和长治久安总目标，围绕自治区人大工作重点，认真落实自治区人大常委会党组对理论研究会的工作要求，研究新情况新问题，深化对人大工作规律和人大自身建设适应新形势新要求的研究。为了保障此项工作的正常开展，全年需开展课题专题调研，邀请专家进行评审，并对研究成果汇编成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2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2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9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47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完成重点课题研究数量</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提出意见建议数量</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&gt;=5次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&gt;=5次</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参考课题表彰奖励数量</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本年度已取消课题表彰奖励。因此本年度未完成参考表彰奖励指标。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完成一般课题研究数量</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研究成果汇编书籍</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涉及课题编印成册费用，因年初未列预算，因此未能完成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重点课题完成率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一般课题完成率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领导批阅率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课题成果评审费</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5.75</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涉及课题编印成册费用，因年初未列预算，因此未能完成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重点课题研究费用</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6.71</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涉及课题编印成册费用，因年初未列预算，因此未能完成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一般课题研究费用</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6.71</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涉及课题编印成册费用，因年初未列预算，因此未能完成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推动人大工作开展</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&gt;=95%</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研究会会员参加活动满意度</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&gt;=95%</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0" w:type="dxa"/>
          <w:trHeight w:val="270" w:hRule="atLeast"/>
        </w:trPr>
        <w:tc>
          <w:tcPr>
            <w:tcW w:w="712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91.63分</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6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4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3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079" w:type="dxa"/>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14"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1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36"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1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71"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1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br w:type="page"/>
      </w:r>
    </w:p>
    <w:tbl>
      <w:tblPr>
        <w:tblStyle w:val="10"/>
        <w:tblW w:w="10425" w:type="dxa"/>
        <w:tblInd w:w="-8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750"/>
        <w:gridCol w:w="1020"/>
        <w:gridCol w:w="960"/>
        <w:gridCol w:w="1050"/>
        <w:gridCol w:w="1260"/>
        <w:gridCol w:w="1185"/>
        <w:gridCol w:w="900"/>
        <w:gridCol w:w="780"/>
        <w:gridCol w:w="75"/>
        <w:gridCol w:w="840"/>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042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42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892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自治区十三届人大四次会议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4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5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791.00</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620.09</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78.39%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791</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上年结转资金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50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46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40"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人大机关及其常委会作为地方国家权力机关，承担着立法、监督、决定、任免等重要职责。坚持党的领导、人民当家作主、依法治国有机统一，认真落实以习近平同志为核心的党中央决策部署、自治区党委工作安排，讲政治、顾大局、勇担当、善作为，充分发挥人大在实现社会稳定和长治久安总目标中的职能和功效。明年召开的自治区十三届人大四次会议，会议召开需791万元经费保障，主要用于大会代表食宿、会议期间办公费、会议资料翻译、证件制作等。</w:t>
            </w:r>
          </w:p>
        </w:tc>
        <w:tc>
          <w:tcPr>
            <w:tcW w:w="4635"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人大机关及其常委会作为地方国家权力机关，承担着立法、监督、决定、任免等重要职责。坚持党的领导、人民当家作主、依法治国有机统一，认真落实以习近平同志为核心的党中央决策部署、自治区党委工作安排，讲政治、顾大局、勇担当、善作为，充分发挥人大在实现社会稳定和长治久安总目标中的职能和功效。明年召开的自治区十三届人大四次会议，会议召开需791万元经费保障，主要用于大会代表食宿、会议期间办公费、会议资料翻译、证件制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0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8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6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会议召开次数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为代表提供住宿地点</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全区代表所在县</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108个</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参加会议代表人数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代表到会率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&gt;=99%</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会议召开准时率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会议办公费</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因疫情影响，本次会议列席代表未能参会，费用未按要求完成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代表住宿场租费用</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=638万元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因疫情影响，本次会议列席代表未能参会，费用未按要求完成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农牧民代表补助差费</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因疫情影响，本次会议列席代表未能参会，费用未按要求完成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武警执勤补助</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因疫情影响，本次会议列席代表未能参会，费用未按要求完成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自治区人代会讨论议题覆盖领域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&gt;=6个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参会人员满意度</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7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90.96分</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ind w:firstLine="640" w:firstLineChars="200"/>
        <w:jc w:val="center"/>
        <w:outlineLvl w:val="0"/>
        <w:rPr>
          <w:rFonts w:hint="eastAsia" w:ascii="黑体" w:hAnsi="黑体" w:eastAsia="黑体"/>
          <w:sz w:val="32"/>
          <w:szCs w:val="32"/>
        </w:rPr>
      </w:pPr>
      <w:bookmarkStart w:id="32" w:name="_Toc24143"/>
      <w:bookmarkStart w:id="33" w:name="_Toc3250"/>
    </w:p>
    <w:p>
      <w:pPr>
        <w:ind w:firstLine="640" w:firstLineChars="200"/>
        <w:jc w:val="center"/>
        <w:outlineLvl w:val="0"/>
        <w:rPr>
          <w:rFonts w:ascii="黑体" w:hAnsi="黑体" w:eastAsia="黑体"/>
          <w:sz w:val="32"/>
          <w:szCs w:val="32"/>
        </w:rPr>
      </w:pPr>
      <w:bookmarkStart w:id="52" w:name="_GoBack"/>
      <w:bookmarkEnd w:id="52"/>
      <w:r>
        <w:rPr>
          <w:rFonts w:hint="eastAsia" w:ascii="黑体" w:hAnsi="黑体" w:eastAsia="黑体"/>
          <w:sz w:val="32"/>
          <w:szCs w:val="32"/>
        </w:rPr>
        <w:t>第三部分 专业名词解释</w:t>
      </w:r>
      <w:bookmarkEnd w:id="32"/>
      <w:bookmarkEnd w:id="33"/>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财政拨款收入：指同级财政当年拨付的资金。</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上级补助收入：指事业单位从主管部门和上级单位取得的非财政补助收入。</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附属单位上缴收入：指事业单位附属的独立核算单位按有关规定上缴的收入。</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其他收入：指除上述“财政拨款收入”、“事业收入”、“经营收入”、“附属单位上缴收入”等之外取得的收入。</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年初结转和结余：指以前年度支出预算因客观条件变化未执行完毕、结转到本年度按有关规定继续使用的资金，既包括财政拨款结转和结余，也包括事业收入、经营收入、其他收入的结转和结余。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对附属单位补助支出：指事业单位发生的用非财政预算资金对附属单位的补助支出。</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国际旅费、国外城市间交通费、住宿费、伙食费、培训费、公杂费等支出；公务用车购置费反映公务用车购置支出（含车辆购置税、牌照费）；公务用车运行维护费反映单位按规定保留的公务用车燃料费、维修费、过路过桥费、保险费、安全奖励费用等支出；公务接待费反映单位按规定开支的各类公务接待（含外宾接待）费用。</w:t>
      </w:r>
    </w:p>
    <w:p>
      <w:pPr>
        <w:ind w:firstLine="640" w:firstLineChars="200"/>
        <w:rPr>
          <w:rFonts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sz w:val="32"/>
          <w:szCs w:val="32"/>
        </w:rPr>
      </w:pPr>
      <w:bookmarkStart w:id="34" w:name="_Toc28903"/>
      <w:bookmarkStart w:id="35" w:name="_Toc22784"/>
      <w:r>
        <w:rPr>
          <w:rFonts w:hint="eastAsia" w:ascii="黑体" w:hAnsi="黑体" w:eastAsia="黑体"/>
          <w:sz w:val="32"/>
          <w:szCs w:val="32"/>
        </w:rPr>
        <w:br w:type="page"/>
      </w:r>
    </w:p>
    <w:p>
      <w:pPr>
        <w:ind w:firstLine="640" w:firstLineChars="200"/>
        <w:jc w:val="center"/>
        <w:outlineLvl w:val="0"/>
        <w:rPr>
          <w:rFonts w:ascii="黑体" w:hAnsi="黑体" w:eastAsia="黑体"/>
          <w:sz w:val="32"/>
          <w:szCs w:val="32"/>
        </w:rPr>
      </w:pPr>
      <w:r>
        <w:rPr>
          <w:rFonts w:hint="eastAsia" w:ascii="黑体" w:hAnsi="黑体" w:eastAsia="黑体"/>
          <w:sz w:val="32"/>
          <w:szCs w:val="32"/>
        </w:rPr>
        <w:t>第四部分 部门决算报表（见附表）</w:t>
      </w:r>
      <w:bookmarkEnd w:id="34"/>
      <w:bookmarkEnd w:id="35"/>
    </w:p>
    <w:p>
      <w:pPr>
        <w:ind w:firstLine="640" w:firstLineChars="200"/>
        <w:outlineLvl w:val="1"/>
        <w:rPr>
          <w:rFonts w:ascii="黑体" w:hAnsi="黑体" w:eastAsia="黑体" w:cs="宋体"/>
          <w:bCs/>
          <w:kern w:val="0"/>
          <w:sz w:val="32"/>
          <w:szCs w:val="32"/>
        </w:rPr>
      </w:pPr>
      <w:bookmarkStart w:id="36" w:name="_Toc6062"/>
      <w:bookmarkStart w:id="37" w:name="_Toc2183"/>
      <w:r>
        <w:rPr>
          <w:rFonts w:hint="eastAsia" w:ascii="黑体" w:hAnsi="黑体" w:eastAsia="黑体" w:cs="宋体"/>
          <w:bCs/>
          <w:kern w:val="0"/>
          <w:sz w:val="32"/>
          <w:szCs w:val="32"/>
        </w:rPr>
        <w:t>一、《收入支出决算总表》</w:t>
      </w:r>
      <w:bookmarkEnd w:id="36"/>
      <w:bookmarkEnd w:id="37"/>
    </w:p>
    <w:p>
      <w:pPr>
        <w:ind w:firstLine="640" w:firstLineChars="200"/>
        <w:outlineLvl w:val="1"/>
        <w:rPr>
          <w:rFonts w:ascii="黑体" w:hAnsi="黑体" w:eastAsia="黑体" w:cs="宋体"/>
          <w:bCs/>
          <w:kern w:val="0"/>
          <w:sz w:val="32"/>
          <w:szCs w:val="32"/>
        </w:rPr>
      </w:pPr>
      <w:bookmarkStart w:id="38" w:name="_Toc24532"/>
      <w:bookmarkStart w:id="39" w:name="_Toc30364"/>
      <w:r>
        <w:rPr>
          <w:rFonts w:hint="eastAsia" w:ascii="黑体" w:hAnsi="黑体" w:eastAsia="黑体" w:cs="宋体"/>
          <w:bCs/>
          <w:kern w:val="0"/>
          <w:sz w:val="32"/>
          <w:szCs w:val="32"/>
        </w:rPr>
        <w:t>二、《收入决算表》</w:t>
      </w:r>
      <w:bookmarkEnd w:id="38"/>
      <w:bookmarkEnd w:id="39"/>
    </w:p>
    <w:p>
      <w:pPr>
        <w:ind w:firstLine="640" w:firstLineChars="200"/>
        <w:outlineLvl w:val="1"/>
        <w:rPr>
          <w:rFonts w:ascii="黑体" w:hAnsi="黑体" w:eastAsia="黑体" w:cs="宋体"/>
          <w:bCs/>
          <w:kern w:val="0"/>
          <w:sz w:val="32"/>
          <w:szCs w:val="32"/>
        </w:rPr>
      </w:pPr>
      <w:bookmarkStart w:id="40" w:name="_Toc32434"/>
      <w:bookmarkStart w:id="41" w:name="_Toc21304"/>
      <w:r>
        <w:rPr>
          <w:rFonts w:hint="eastAsia" w:ascii="黑体" w:hAnsi="黑体" w:eastAsia="黑体" w:cs="宋体"/>
          <w:bCs/>
          <w:kern w:val="0"/>
          <w:sz w:val="32"/>
          <w:szCs w:val="32"/>
        </w:rPr>
        <w:t>三、《支出决算表》</w:t>
      </w:r>
      <w:bookmarkEnd w:id="40"/>
      <w:bookmarkEnd w:id="41"/>
    </w:p>
    <w:p>
      <w:pPr>
        <w:ind w:firstLine="640" w:firstLineChars="200"/>
        <w:outlineLvl w:val="1"/>
        <w:rPr>
          <w:rFonts w:ascii="黑体" w:hAnsi="黑体" w:eastAsia="黑体" w:cs="宋体"/>
          <w:bCs/>
          <w:kern w:val="0"/>
          <w:sz w:val="32"/>
          <w:szCs w:val="32"/>
        </w:rPr>
      </w:pPr>
      <w:bookmarkStart w:id="42" w:name="_Toc28786"/>
      <w:bookmarkStart w:id="43" w:name="_Toc14238"/>
      <w:r>
        <w:rPr>
          <w:rFonts w:hint="eastAsia" w:ascii="黑体" w:hAnsi="黑体" w:eastAsia="黑体" w:cs="宋体"/>
          <w:bCs/>
          <w:kern w:val="0"/>
          <w:sz w:val="32"/>
          <w:szCs w:val="32"/>
        </w:rPr>
        <w:t>四、《财政拨款收入支出决算总表》</w:t>
      </w:r>
      <w:bookmarkEnd w:id="42"/>
      <w:bookmarkEnd w:id="43"/>
    </w:p>
    <w:p>
      <w:pPr>
        <w:ind w:firstLine="640" w:firstLineChars="200"/>
        <w:outlineLvl w:val="1"/>
        <w:rPr>
          <w:rFonts w:ascii="黑体" w:hAnsi="黑体" w:eastAsia="黑体" w:cs="宋体"/>
          <w:bCs/>
          <w:kern w:val="0"/>
          <w:sz w:val="32"/>
          <w:szCs w:val="32"/>
        </w:rPr>
      </w:pPr>
      <w:bookmarkStart w:id="44" w:name="_Toc10347"/>
      <w:bookmarkStart w:id="45" w:name="_Toc14869"/>
      <w:r>
        <w:rPr>
          <w:rFonts w:hint="eastAsia" w:ascii="黑体" w:hAnsi="黑体" w:eastAsia="黑体" w:cs="宋体"/>
          <w:bCs/>
          <w:kern w:val="0"/>
          <w:sz w:val="32"/>
          <w:szCs w:val="32"/>
        </w:rPr>
        <w:t>五、《一般公共预算财政拨款支出决算表》</w:t>
      </w:r>
      <w:bookmarkEnd w:id="44"/>
      <w:bookmarkEnd w:id="45"/>
    </w:p>
    <w:p>
      <w:pPr>
        <w:ind w:firstLine="640" w:firstLineChars="200"/>
        <w:outlineLvl w:val="1"/>
        <w:rPr>
          <w:rFonts w:ascii="黑体" w:hAnsi="黑体" w:eastAsia="黑体" w:cs="宋体"/>
          <w:bCs/>
          <w:kern w:val="0"/>
          <w:sz w:val="32"/>
          <w:szCs w:val="32"/>
        </w:rPr>
      </w:pPr>
      <w:bookmarkStart w:id="46" w:name="_Toc8884"/>
      <w:bookmarkStart w:id="47" w:name="_Toc5626"/>
      <w:r>
        <w:rPr>
          <w:rFonts w:hint="eastAsia" w:ascii="黑体" w:hAnsi="黑体" w:eastAsia="黑体" w:cs="宋体"/>
          <w:bCs/>
          <w:kern w:val="0"/>
          <w:sz w:val="32"/>
          <w:szCs w:val="32"/>
        </w:rPr>
        <w:t>六、《一般公共预算财政拨款基本支出决算表》</w:t>
      </w:r>
      <w:bookmarkEnd w:id="46"/>
      <w:bookmarkEnd w:id="47"/>
    </w:p>
    <w:p>
      <w:pPr>
        <w:ind w:firstLine="640" w:firstLineChars="200"/>
        <w:outlineLvl w:val="1"/>
        <w:rPr>
          <w:rFonts w:ascii="黑体" w:hAnsi="黑体" w:eastAsia="黑体" w:cs="宋体"/>
          <w:bCs/>
          <w:kern w:val="0"/>
          <w:sz w:val="32"/>
          <w:szCs w:val="32"/>
        </w:rPr>
      </w:pPr>
      <w:bookmarkStart w:id="48" w:name="_Toc29106"/>
      <w:bookmarkStart w:id="49" w:name="_Toc32663"/>
      <w:r>
        <w:rPr>
          <w:rFonts w:hint="eastAsia" w:ascii="黑体" w:hAnsi="黑体" w:eastAsia="黑体" w:cs="宋体"/>
          <w:bCs/>
          <w:kern w:val="0"/>
          <w:sz w:val="32"/>
          <w:szCs w:val="32"/>
        </w:rPr>
        <w:t>七、《一般公共预算财政拨款“三公”经费支出决算表》</w:t>
      </w:r>
      <w:bookmarkEnd w:id="48"/>
      <w:bookmarkEnd w:id="49"/>
    </w:p>
    <w:p>
      <w:pPr>
        <w:ind w:firstLine="640" w:firstLineChars="200"/>
        <w:outlineLvl w:val="1"/>
        <w:rPr>
          <w:rFonts w:ascii="黑体" w:hAnsi="黑体" w:eastAsia="黑体" w:cs="宋体"/>
          <w:bCs/>
          <w:kern w:val="0"/>
          <w:sz w:val="32"/>
          <w:szCs w:val="32"/>
        </w:rPr>
      </w:pPr>
      <w:bookmarkStart w:id="50" w:name="_Toc7643"/>
      <w:bookmarkStart w:id="51" w:name="_Toc5453"/>
      <w:r>
        <w:rPr>
          <w:rFonts w:hint="eastAsia" w:ascii="黑体" w:hAnsi="黑体" w:eastAsia="黑体" w:cs="宋体"/>
          <w:bCs/>
          <w:kern w:val="0"/>
          <w:sz w:val="32"/>
          <w:szCs w:val="32"/>
        </w:rPr>
        <w:t>八、《政府性基金预算财政拨款收入支出决算表》</w:t>
      </w:r>
      <w:bookmarkEnd w:id="50"/>
      <w:bookmarkEnd w:id="51"/>
    </w:p>
    <w:p>
      <w:pPr>
        <w:ind w:firstLine="640" w:firstLineChars="200"/>
        <w:outlineLvl w:val="1"/>
        <w:rPr>
          <w:rFonts w:ascii="黑体" w:hAnsi="黑体" w:eastAsia="黑体" w:cs="宋体"/>
          <w:bCs/>
          <w:kern w:val="0"/>
          <w:sz w:val="32"/>
          <w:szCs w:val="32"/>
        </w:rPr>
      </w:pPr>
      <w:r>
        <w:rPr>
          <w:rFonts w:hint="eastAsia" w:ascii="黑体" w:hAnsi="黑体" w:eastAsia="黑体" w:cs="宋体"/>
          <w:bCs/>
          <w:kern w:val="0"/>
          <w:sz w:val="32"/>
          <w:szCs w:val="32"/>
        </w:rPr>
        <w:t>九、《国有资本经营预算财政拨款收入支出决算表》</w:t>
      </w:r>
    </w:p>
    <w:p>
      <w:pPr>
        <w:ind w:firstLine="640" w:firstLineChars="200"/>
        <w:outlineLvl w:val="1"/>
        <w:rPr>
          <w:rFonts w:ascii="黑体" w:hAnsi="黑体" w:eastAsia="黑体" w:cs="宋体"/>
          <w:bCs/>
          <w:kern w:val="0"/>
          <w:sz w:val="32"/>
          <w:szCs w:val="32"/>
        </w:rPr>
      </w:pPr>
    </w:p>
    <w:p>
      <w:r>
        <w:br w:type="page"/>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bidi="ug-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DOqXm5zwAAAAUBAAAPAAAAAAAAAAEAIAAA&#10;ADgAAABkcnMvZG93bnJldi54bWxQSwECFAAUAAAACACHTuJANBzbh8YBAABwAwAADgAAAAAAAAAB&#10;ACAAAAA0AQAAZHJzL2Uyb0RvYy54bWxQSwUGAAAAAAYABgBZAQAAbAU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hMjM3NTFiOWJmNDE2NGJkNzU3YmRiMWY4YThjZDIifQ=="/>
  </w:docVars>
  <w:rsids>
    <w:rsidRoot w:val="006B7B8C"/>
    <w:rsid w:val="00014AAB"/>
    <w:rsid w:val="00015801"/>
    <w:rsid w:val="0002486D"/>
    <w:rsid w:val="00062388"/>
    <w:rsid w:val="000731DE"/>
    <w:rsid w:val="00082B96"/>
    <w:rsid w:val="000874C6"/>
    <w:rsid w:val="00091D32"/>
    <w:rsid w:val="000B3F65"/>
    <w:rsid w:val="000B4DF4"/>
    <w:rsid w:val="000B597A"/>
    <w:rsid w:val="000C0611"/>
    <w:rsid w:val="000C72B8"/>
    <w:rsid w:val="000F13FC"/>
    <w:rsid w:val="000F1BC6"/>
    <w:rsid w:val="000F7D1A"/>
    <w:rsid w:val="00100F46"/>
    <w:rsid w:val="001114DC"/>
    <w:rsid w:val="001221DB"/>
    <w:rsid w:val="001224FB"/>
    <w:rsid w:val="001433D9"/>
    <w:rsid w:val="00147345"/>
    <w:rsid w:val="00157386"/>
    <w:rsid w:val="00176B00"/>
    <w:rsid w:val="001A140F"/>
    <w:rsid w:val="001A52AF"/>
    <w:rsid w:val="001C2440"/>
    <w:rsid w:val="001C44B0"/>
    <w:rsid w:val="00207BE8"/>
    <w:rsid w:val="002120BB"/>
    <w:rsid w:val="002548C8"/>
    <w:rsid w:val="00272419"/>
    <w:rsid w:val="003028E1"/>
    <w:rsid w:val="00302A04"/>
    <w:rsid w:val="00312652"/>
    <w:rsid w:val="00345A42"/>
    <w:rsid w:val="0035250E"/>
    <w:rsid w:val="00353DD9"/>
    <w:rsid w:val="00362C48"/>
    <w:rsid w:val="0036666F"/>
    <w:rsid w:val="00370F5B"/>
    <w:rsid w:val="003824A3"/>
    <w:rsid w:val="00392A24"/>
    <w:rsid w:val="0039326B"/>
    <w:rsid w:val="00395F5C"/>
    <w:rsid w:val="003A65AE"/>
    <w:rsid w:val="003C4475"/>
    <w:rsid w:val="003C4518"/>
    <w:rsid w:val="003C5962"/>
    <w:rsid w:val="003D230A"/>
    <w:rsid w:val="003D381A"/>
    <w:rsid w:val="003D4CE8"/>
    <w:rsid w:val="004078AA"/>
    <w:rsid w:val="00420161"/>
    <w:rsid w:val="00464FAC"/>
    <w:rsid w:val="00480271"/>
    <w:rsid w:val="00487954"/>
    <w:rsid w:val="00495F92"/>
    <w:rsid w:val="004971F0"/>
    <w:rsid w:val="004B241A"/>
    <w:rsid w:val="004B2827"/>
    <w:rsid w:val="004B4550"/>
    <w:rsid w:val="004C036C"/>
    <w:rsid w:val="004C7698"/>
    <w:rsid w:val="004D5A4F"/>
    <w:rsid w:val="004E5240"/>
    <w:rsid w:val="004E7075"/>
    <w:rsid w:val="00511EF6"/>
    <w:rsid w:val="005266C7"/>
    <w:rsid w:val="00536589"/>
    <w:rsid w:val="005609AE"/>
    <w:rsid w:val="00565E92"/>
    <w:rsid w:val="00573DA1"/>
    <w:rsid w:val="00577003"/>
    <w:rsid w:val="00581BC9"/>
    <w:rsid w:val="0058594B"/>
    <w:rsid w:val="00597053"/>
    <w:rsid w:val="005B4B49"/>
    <w:rsid w:val="005D0449"/>
    <w:rsid w:val="005D2934"/>
    <w:rsid w:val="005D3D72"/>
    <w:rsid w:val="005D54E8"/>
    <w:rsid w:val="005D6482"/>
    <w:rsid w:val="005F26BE"/>
    <w:rsid w:val="00610E0F"/>
    <w:rsid w:val="006113E2"/>
    <w:rsid w:val="00624982"/>
    <w:rsid w:val="00625F2E"/>
    <w:rsid w:val="006505E8"/>
    <w:rsid w:val="00656A89"/>
    <w:rsid w:val="006612DA"/>
    <w:rsid w:val="00677EE6"/>
    <w:rsid w:val="006B25BA"/>
    <w:rsid w:val="006B5D26"/>
    <w:rsid w:val="006B7089"/>
    <w:rsid w:val="006B7147"/>
    <w:rsid w:val="006B7779"/>
    <w:rsid w:val="006B7B8C"/>
    <w:rsid w:val="006C09CD"/>
    <w:rsid w:val="006C6123"/>
    <w:rsid w:val="007002F4"/>
    <w:rsid w:val="0072647E"/>
    <w:rsid w:val="00730D0A"/>
    <w:rsid w:val="00753BF6"/>
    <w:rsid w:val="007718CB"/>
    <w:rsid w:val="0077373D"/>
    <w:rsid w:val="00773C57"/>
    <w:rsid w:val="00793611"/>
    <w:rsid w:val="007B5171"/>
    <w:rsid w:val="007E51A8"/>
    <w:rsid w:val="007F1677"/>
    <w:rsid w:val="008060FF"/>
    <w:rsid w:val="00817497"/>
    <w:rsid w:val="00820F01"/>
    <w:rsid w:val="00833A8D"/>
    <w:rsid w:val="00844A1B"/>
    <w:rsid w:val="00862C15"/>
    <w:rsid w:val="00866D2C"/>
    <w:rsid w:val="008936FD"/>
    <w:rsid w:val="008B0283"/>
    <w:rsid w:val="008B08E2"/>
    <w:rsid w:val="008C5CF1"/>
    <w:rsid w:val="008E1BC7"/>
    <w:rsid w:val="008E3821"/>
    <w:rsid w:val="008E6109"/>
    <w:rsid w:val="008E6A5A"/>
    <w:rsid w:val="00914AAA"/>
    <w:rsid w:val="00920BB9"/>
    <w:rsid w:val="00937335"/>
    <w:rsid w:val="00972E47"/>
    <w:rsid w:val="00984899"/>
    <w:rsid w:val="009848D4"/>
    <w:rsid w:val="009B30F0"/>
    <w:rsid w:val="009B32AE"/>
    <w:rsid w:val="009C6ACE"/>
    <w:rsid w:val="009E66FE"/>
    <w:rsid w:val="00A01F1F"/>
    <w:rsid w:val="00A04806"/>
    <w:rsid w:val="00A07771"/>
    <w:rsid w:val="00A337C0"/>
    <w:rsid w:val="00A45B04"/>
    <w:rsid w:val="00A830BA"/>
    <w:rsid w:val="00A851E1"/>
    <w:rsid w:val="00AD0C57"/>
    <w:rsid w:val="00AD0ECD"/>
    <w:rsid w:val="00AD3E2A"/>
    <w:rsid w:val="00AD75AE"/>
    <w:rsid w:val="00AE710B"/>
    <w:rsid w:val="00B14642"/>
    <w:rsid w:val="00B223C7"/>
    <w:rsid w:val="00B3137B"/>
    <w:rsid w:val="00B323EA"/>
    <w:rsid w:val="00B32435"/>
    <w:rsid w:val="00B5166C"/>
    <w:rsid w:val="00B55170"/>
    <w:rsid w:val="00B81749"/>
    <w:rsid w:val="00B82BD1"/>
    <w:rsid w:val="00B82F2C"/>
    <w:rsid w:val="00BC404C"/>
    <w:rsid w:val="00BD11BA"/>
    <w:rsid w:val="00BD1A9F"/>
    <w:rsid w:val="00BF043E"/>
    <w:rsid w:val="00BF382F"/>
    <w:rsid w:val="00BF59D3"/>
    <w:rsid w:val="00C0134C"/>
    <w:rsid w:val="00C0510A"/>
    <w:rsid w:val="00C14826"/>
    <w:rsid w:val="00C274DD"/>
    <w:rsid w:val="00C312EC"/>
    <w:rsid w:val="00C4109C"/>
    <w:rsid w:val="00C65082"/>
    <w:rsid w:val="00C67079"/>
    <w:rsid w:val="00CA4926"/>
    <w:rsid w:val="00CB467D"/>
    <w:rsid w:val="00CC4A46"/>
    <w:rsid w:val="00CD75DB"/>
    <w:rsid w:val="00CF2197"/>
    <w:rsid w:val="00D00715"/>
    <w:rsid w:val="00D060F1"/>
    <w:rsid w:val="00D13254"/>
    <w:rsid w:val="00D20143"/>
    <w:rsid w:val="00D218B2"/>
    <w:rsid w:val="00D26864"/>
    <w:rsid w:val="00D26E58"/>
    <w:rsid w:val="00D27269"/>
    <w:rsid w:val="00D44942"/>
    <w:rsid w:val="00D548CB"/>
    <w:rsid w:val="00D65A9C"/>
    <w:rsid w:val="00D706DB"/>
    <w:rsid w:val="00D8490F"/>
    <w:rsid w:val="00D97950"/>
    <w:rsid w:val="00DC09B1"/>
    <w:rsid w:val="00E00036"/>
    <w:rsid w:val="00E14CA4"/>
    <w:rsid w:val="00E23560"/>
    <w:rsid w:val="00E40C0B"/>
    <w:rsid w:val="00E429F1"/>
    <w:rsid w:val="00E434E9"/>
    <w:rsid w:val="00E8482F"/>
    <w:rsid w:val="00EC7E67"/>
    <w:rsid w:val="00F074B1"/>
    <w:rsid w:val="00F647BE"/>
    <w:rsid w:val="00F85377"/>
    <w:rsid w:val="00FA62CF"/>
    <w:rsid w:val="01D35DA3"/>
    <w:rsid w:val="02E743B6"/>
    <w:rsid w:val="02F1741B"/>
    <w:rsid w:val="04911B11"/>
    <w:rsid w:val="052035FD"/>
    <w:rsid w:val="05AF70DB"/>
    <w:rsid w:val="05E67E42"/>
    <w:rsid w:val="06792773"/>
    <w:rsid w:val="0742534E"/>
    <w:rsid w:val="08B509AF"/>
    <w:rsid w:val="08E75997"/>
    <w:rsid w:val="09E12A64"/>
    <w:rsid w:val="0AF87F94"/>
    <w:rsid w:val="0B835865"/>
    <w:rsid w:val="0BF6540F"/>
    <w:rsid w:val="0C7227A7"/>
    <w:rsid w:val="0C801B16"/>
    <w:rsid w:val="0D1E33E4"/>
    <w:rsid w:val="0DAA21EE"/>
    <w:rsid w:val="0FA7589A"/>
    <w:rsid w:val="102C6852"/>
    <w:rsid w:val="1081433D"/>
    <w:rsid w:val="12D3520E"/>
    <w:rsid w:val="1396784F"/>
    <w:rsid w:val="13EC0B8A"/>
    <w:rsid w:val="14EB6229"/>
    <w:rsid w:val="155C65A7"/>
    <w:rsid w:val="15E95753"/>
    <w:rsid w:val="16F045F9"/>
    <w:rsid w:val="176E6CF3"/>
    <w:rsid w:val="17C618A3"/>
    <w:rsid w:val="185F4F4D"/>
    <w:rsid w:val="193D4B9E"/>
    <w:rsid w:val="1B4E62E5"/>
    <w:rsid w:val="1C666C77"/>
    <w:rsid w:val="1C8B4975"/>
    <w:rsid w:val="1C98798D"/>
    <w:rsid w:val="1D2D783E"/>
    <w:rsid w:val="1D9D4C68"/>
    <w:rsid w:val="1DAF458D"/>
    <w:rsid w:val="1E150A80"/>
    <w:rsid w:val="1EAA00AC"/>
    <w:rsid w:val="1FA73C1B"/>
    <w:rsid w:val="22BB1FE4"/>
    <w:rsid w:val="238E494F"/>
    <w:rsid w:val="258917FB"/>
    <w:rsid w:val="27AF63CE"/>
    <w:rsid w:val="27CF2642"/>
    <w:rsid w:val="28605A33"/>
    <w:rsid w:val="294E4805"/>
    <w:rsid w:val="29E96D83"/>
    <w:rsid w:val="29EC087F"/>
    <w:rsid w:val="2A053397"/>
    <w:rsid w:val="2ABE0B21"/>
    <w:rsid w:val="2B3A3AD8"/>
    <w:rsid w:val="2D1136DF"/>
    <w:rsid w:val="2DE716FC"/>
    <w:rsid w:val="2E59285E"/>
    <w:rsid w:val="2FD27414"/>
    <w:rsid w:val="31857BAC"/>
    <w:rsid w:val="31B5304E"/>
    <w:rsid w:val="31C63837"/>
    <w:rsid w:val="33206C0F"/>
    <w:rsid w:val="33BC32B4"/>
    <w:rsid w:val="3403319F"/>
    <w:rsid w:val="3429669A"/>
    <w:rsid w:val="34965581"/>
    <w:rsid w:val="35C5793C"/>
    <w:rsid w:val="36325697"/>
    <w:rsid w:val="36E958BB"/>
    <w:rsid w:val="370D7281"/>
    <w:rsid w:val="38CB046A"/>
    <w:rsid w:val="3A643253"/>
    <w:rsid w:val="3B5D1933"/>
    <w:rsid w:val="3D1D5019"/>
    <w:rsid w:val="3D5275AC"/>
    <w:rsid w:val="3E1A76DD"/>
    <w:rsid w:val="3E2B7A03"/>
    <w:rsid w:val="3E9A7BA4"/>
    <w:rsid w:val="3F076061"/>
    <w:rsid w:val="3F6A08C0"/>
    <w:rsid w:val="441B77FA"/>
    <w:rsid w:val="455E1F7C"/>
    <w:rsid w:val="45897ADA"/>
    <w:rsid w:val="46901EEE"/>
    <w:rsid w:val="469C74D2"/>
    <w:rsid w:val="48A52360"/>
    <w:rsid w:val="4902047E"/>
    <w:rsid w:val="4A7D4485"/>
    <w:rsid w:val="4C2E1A9B"/>
    <w:rsid w:val="4D1535AF"/>
    <w:rsid w:val="4D73058E"/>
    <w:rsid w:val="4DE45AD9"/>
    <w:rsid w:val="4E11500F"/>
    <w:rsid w:val="4EEF1380"/>
    <w:rsid w:val="4F9D7B44"/>
    <w:rsid w:val="50DB5F45"/>
    <w:rsid w:val="512709C0"/>
    <w:rsid w:val="51DB4252"/>
    <w:rsid w:val="52314E57"/>
    <w:rsid w:val="523358A5"/>
    <w:rsid w:val="53350823"/>
    <w:rsid w:val="54054866"/>
    <w:rsid w:val="54F22EA5"/>
    <w:rsid w:val="55516A31"/>
    <w:rsid w:val="59444B98"/>
    <w:rsid w:val="59996596"/>
    <w:rsid w:val="5A8B468F"/>
    <w:rsid w:val="5B694D7F"/>
    <w:rsid w:val="5C386C32"/>
    <w:rsid w:val="5D286D33"/>
    <w:rsid w:val="5D630BDE"/>
    <w:rsid w:val="5E8A0BA7"/>
    <w:rsid w:val="5FFF1C5A"/>
    <w:rsid w:val="61A46A97"/>
    <w:rsid w:val="63147CC6"/>
    <w:rsid w:val="64275BB0"/>
    <w:rsid w:val="64925820"/>
    <w:rsid w:val="6627325F"/>
    <w:rsid w:val="665B4DD0"/>
    <w:rsid w:val="66F72012"/>
    <w:rsid w:val="67623B14"/>
    <w:rsid w:val="68706FD2"/>
    <w:rsid w:val="69AD798C"/>
    <w:rsid w:val="69F01279"/>
    <w:rsid w:val="6B311CD9"/>
    <w:rsid w:val="6B68175F"/>
    <w:rsid w:val="6B8500AE"/>
    <w:rsid w:val="6C81696B"/>
    <w:rsid w:val="6D587ECB"/>
    <w:rsid w:val="6DE375B7"/>
    <w:rsid w:val="6F516C58"/>
    <w:rsid w:val="6FDFD92C"/>
    <w:rsid w:val="6FFF530B"/>
    <w:rsid w:val="70A609BC"/>
    <w:rsid w:val="73FB6630"/>
    <w:rsid w:val="74060C43"/>
    <w:rsid w:val="74947C20"/>
    <w:rsid w:val="761262E7"/>
    <w:rsid w:val="76416A32"/>
    <w:rsid w:val="77022DD9"/>
    <w:rsid w:val="77ED6F44"/>
    <w:rsid w:val="7E6C6E77"/>
    <w:rsid w:val="7EA877E8"/>
    <w:rsid w:val="7F726A00"/>
    <w:rsid w:val="7FB31F36"/>
    <w:rsid w:val="7FC0756C"/>
    <w:rsid w:val="7FC85347"/>
    <w:rsid w:val="BF5DD8AA"/>
    <w:rsid w:val="D3CF2FDB"/>
    <w:rsid w:val="F534C030"/>
    <w:rsid w:val="FDFEE3F3"/>
    <w:rsid w:val="FFBF01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toc 3"/>
    <w:basedOn w:val="1"/>
    <w:next w:val="1"/>
    <w:qFormat/>
    <w:uiPriority w:val="0"/>
    <w:pPr>
      <w:ind w:left="840" w:leftChars="400"/>
    </w:pPr>
  </w:style>
  <w:style w:type="paragraph" w:styleId="4">
    <w:name w:val="Balloon Text"/>
    <w:basedOn w:val="1"/>
    <w:link w:val="16"/>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styleId="12">
    <w:name w:val="annotation reference"/>
    <w:basedOn w:val="11"/>
    <w:qFormat/>
    <w:uiPriority w:val="0"/>
    <w:rPr>
      <w:sz w:val="21"/>
      <w:szCs w:val="21"/>
    </w:rPr>
  </w:style>
  <w:style w:type="paragraph" w:customStyle="1" w:styleId="13">
    <w:name w:val="WPSOffice手动目录 2"/>
    <w:qFormat/>
    <w:uiPriority w:val="0"/>
    <w:pPr>
      <w:ind w:left="200" w:leftChars="200"/>
    </w:pPr>
    <w:rPr>
      <w:rFonts w:ascii="Times New Roman" w:hAnsi="Times New Roman" w:eastAsia="宋体" w:cs="Times New Roman"/>
      <w:lang w:val="en-US" w:eastAsia="zh-CN" w:bidi="ug-CN"/>
    </w:rPr>
  </w:style>
  <w:style w:type="paragraph" w:customStyle="1" w:styleId="14">
    <w:name w:val="WPSOffice手动目录 1"/>
    <w:qFormat/>
    <w:uiPriority w:val="0"/>
    <w:rPr>
      <w:rFonts w:ascii="Times New Roman" w:hAnsi="Times New Roman" w:eastAsia="宋体" w:cs="Times New Roman"/>
      <w:lang w:val="en-US" w:eastAsia="zh-CN" w:bidi="ug-CN"/>
    </w:rPr>
  </w:style>
  <w:style w:type="paragraph" w:customStyle="1" w:styleId="15">
    <w:name w:val="WPSOffice手动目录 3"/>
    <w:qFormat/>
    <w:uiPriority w:val="0"/>
    <w:pPr>
      <w:ind w:left="400" w:leftChars="400"/>
    </w:pPr>
    <w:rPr>
      <w:rFonts w:ascii="Times New Roman" w:hAnsi="Times New Roman" w:eastAsia="宋体" w:cs="Times New Roman"/>
      <w:lang w:val="en-US" w:eastAsia="zh-CN" w:bidi="ug-CN"/>
    </w:rPr>
  </w:style>
  <w:style w:type="character" w:customStyle="1" w:styleId="16">
    <w:name w:val="批注框文本 字符"/>
    <w:basedOn w:val="11"/>
    <w:link w:val="4"/>
    <w:qFormat/>
    <w:uiPriority w:val="0"/>
    <w:rPr>
      <w:kern w:val="2"/>
      <w:sz w:val="18"/>
      <w:szCs w:val="18"/>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33</Pages>
  <Words>14338</Words>
  <Characters>16024</Characters>
  <Lines>59</Lines>
  <Paragraphs>16</Paragraphs>
  <TotalTime>0</TotalTime>
  <ScaleCrop>false</ScaleCrop>
  <LinksUpToDate>false</LinksUpToDate>
  <CharactersWithSpaces>16204</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GXR</dc:creator>
  <cp:lastModifiedBy>rd</cp:lastModifiedBy>
  <dcterms:modified xsi:type="dcterms:W3CDTF">2022-09-01T11:25:41Z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59D8F543E4BF4B5F9BA261246CAB409B</vt:lpwstr>
  </property>
</Properties>
</file>