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er+xml" PartName="/word/footer10.xml"/>
  <Override ContentType="application/vnd.openxmlformats-officedocument.wordprocessingml.footer+xml" PartName="/word/footer11.xml"/>
  <Override ContentType="application/vnd.openxmlformats-officedocument.wordprocessingml.footer+xml" PartName="/word/footer12.xml"/>
  <Override ContentType="application/vnd.openxmlformats-officedocument.wordprocessingml.footer+xml" PartName="/word/footer13.xml"/>
  <Override ContentType="application/vnd.openxmlformats-officedocument.wordprocessingml.footer+xml" PartName="/word/footer14.xml"/>
  <Override ContentType="application/vnd.openxmlformats-officedocument.wordprocessingml.footer+xml" PartName="/word/footer15.xml"/>
  <Override ContentType="application/vnd.openxmlformats-officedocument.wordprocessingml.footer+xml" PartName="/word/footer16.xml"/>
  <Override ContentType="application/vnd.openxmlformats-officedocument.wordprocessingml.footer+xml" PartName="/word/footer17.xml"/>
  <Override ContentType="application/vnd.openxmlformats-officedocument.wordprocessingml.footer+xml" PartName="/word/footer18.xml"/>
  <Override ContentType="application/vnd.openxmlformats-officedocument.wordprocessingml.footer+xml" PartName="/word/footer19.xml"/>
  <Override ContentType="application/vnd.openxmlformats-officedocument.wordprocessingml.footer+xml" PartName="/word/footer2.xml"/>
  <Override ContentType="application/vnd.openxmlformats-officedocument.wordprocessingml.footer+xml" PartName="/word/footer3.xml"/>
  <Override ContentType="application/vnd.openxmlformats-officedocument.wordprocessingml.footer+xml" PartName="/word/footer4.xml"/>
  <Override ContentType="application/vnd.openxmlformats-officedocument.wordprocessingml.footer+xml" PartName="/word/footer5.xml"/>
  <Override ContentType="application/vnd.openxmlformats-officedocument.wordprocessingml.footer+xml" PartName="/word/footer6.xml"/>
  <Override ContentType="application/vnd.openxmlformats-officedocument.wordprocessingml.footer+xml" PartName="/word/footer7.xml"/>
  <Override ContentType="application/vnd.openxmlformats-officedocument.wordprocessingml.footer+xml" PartName="/word/footer8.xml"/>
  <Override ContentType="application/vnd.openxmlformats-officedocument.wordprocessingml.footer+xml" PartName="/word/footer9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2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pStyle w:val="2"/>
        <w:spacing w:line="243" w:lineRule="auto"/>
      </w:pPr>
    </w:p>
    <w:p>
      <w:pPr>
        <w:spacing w:before="185" w:line="215" w:lineRule="auto"/>
        <w:ind w:left="211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9"/>
          <w:sz w:val="43"/>
          <w:szCs w:val="43"/>
        </w:rPr>
        <w:t>新疆维吾尔自治区人民代表大会常务委员</w:t>
      </w:r>
    </w:p>
    <w:p>
      <w:pPr>
        <w:spacing w:before="277" w:line="210" w:lineRule="auto"/>
        <w:ind w:left="742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-1"/>
          <w:sz w:val="43"/>
          <w:szCs w:val="43"/>
        </w:rPr>
        <w:t>会办公厅(本级）2022 年度部门决算</w:t>
      </w:r>
    </w:p>
    <w:p>
      <w:pPr>
        <w:spacing w:before="317" w:line="182" w:lineRule="auto"/>
        <w:ind w:left="3296"/>
        <w:rPr>
          <w:rFonts w:ascii="微软雅黑" w:hAnsi="微软雅黑" w:eastAsia="微软雅黑" w:cs="微软雅黑"/>
          <w:sz w:val="43"/>
          <w:szCs w:val="43"/>
        </w:rPr>
      </w:pPr>
      <w:r>
        <w:rPr>
          <w:rFonts w:ascii="微软雅黑" w:hAnsi="微软雅黑" w:eastAsia="微软雅黑" w:cs="微软雅黑"/>
          <w:spacing w:val="7"/>
          <w:sz w:val="43"/>
          <w:szCs w:val="43"/>
        </w:rPr>
        <w:t>公开说明</w:t>
      </w:r>
    </w:p>
    <w:p>
      <w:pPr>
        <w:spacing w:line="182" w:lineRule="auto"/>
        <w:rPr>
          <w:rFonts w:ascii="微软雅黑" w:hAnsi="微软雅黑" w:eastAsia="微软雅黑" w:cs="微软雅黑"/>
          <w:sz w:val="43"/>
          <w:szCs w:val="43"/>
        </w:rPr>
        <w:sectPr>
          <w:footerReference r:id="rId4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41" w:line="223" w:lineRule="auto"/>
        <w:ind w:left="3704"/>
        <w:rPr>
          <w:rFonts w:ascii="仿宋" w:hAnsi="仿宋" w:eastAsia="仿宋" w:cs="仿宋"/>
          <w:sz w:val="35"/>
          <w:szCs w:val="35"/>
        </w:rPr>
      </w:pPr>
      <w:r>
        <w:rPr>
          <w:rFonts w:ascii="仿宋" w:hAnsi="仿宋" w:eastAsia="仿宋" w:cs="仿宋"/>
          <w:spacing w:val="-35"/>
          <w:sz w:val="35"/>
          <w:szCs w:val="35"/>
        </w:rPr>
        <w:t>目</w:t>
      </w:r>
      <w:r>
        <w:rPr>
          <w:rFonts w:ascii="仿宋" w:hAnsi="仿宋" w:eastAsia="仿宋" w:cs="仿宋"/>
          <w:spacing w:val="19"/>
          <w:sz w:val="35"/>
          <w:szCs w:val="35"/>
        </w:rPr>
        <w:t xml:space="preserve">  </w:t>
      </w:r>
      <w:r>
        <w:rPr>
          <w:rFonts w:ascii="仿宋" w:hAnsi="仿宋" w:eastAsia="仿宋" w:cs="仿宋"/>
          <w:spacing w:val="-35"/>
          <w:sz w:val="35"/>
          <w:szCs w:val="35"/>
        </w:rPr>
        <w:t>录</w:t>
      </w:r>
    </w:p>
    <w:p>
      <w:pPr>
        <w:spacing w:before="224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第一部分 单位概况</w:t>
      </w:r>
      <w:r>
        <w:fldChar w:fldCharType="end"/>
      </w:r>
    </w:p>
    <w:p>
      <w:pPr>
        <w:spacing w:before="306" w:line="189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"bookmark2" </w:instrText>
      </w:r>
      <w:r>
        <w:fldChar w:fldCharType="separate"/>
      </w:r>
      <w:r>
        <w:rPr>
          <w:rFonts w:ascii="仿宋" w:hAnsi="仿宋" w:eastAsia="仿宋" w:cs="仿宋"/>
          <w:spacing w:val="4"/>
          <w:sz w:val="31"/>
          <w:szCs w:val="31"/>
        </w:rPr>
        <w:t>一、主要职能</w:t>
      </w:r>
      <w:r>
        <w:fldChar w:fldCharType="end"/>
      </w:r>
    </w:p>
    <w:p>
      <w:pPr>
        <w:spacing w:before="306" w:line="189" w:lineRule="auto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"bookmark3"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二、机构设置及人员情况</w:t>
      </w:r>
      <w:r>
        <w:fldChar w:fldCharType="end"/>
      </w:r>
    </w:p>
    <w:p>
      <w:pPr>
        <w:spacing w:before="306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"bookmark4"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第二部分 部门决算情况说明</w:t>
      </w:r>
      <w:r>
        <w:fldChar w:fldCharType="end"/>
      </w:r>
    </w:p>
    <w:p>
      <w:pPr>
        <w:spacing w:before="307" w:line="189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"bookmark5"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一、收入支出决算总体情况说明</w:t>
      </w:r>
      <w:r>
        <w:fldChar w:fldCharType="end"/>
      </w:r>
    </w:p>
    <w:p>
      <w:pPr>
        <w:spacing w:before="306" w:line="189" w:lineRule="auto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"bookmark6"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二、收入决算情况说明</w:t>
      </w:r>
      <w:r>
        <w:fldChar w:fldCharType="end"/>
      </w:r>
    </w:p>
    <w:p>
      <w:pPr>
        <w:spacing w:before="307" w:line="189" w:lineRule="auto"/>
        <w:ind w:left="5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"bookmark7"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三、支出决算情况说明</w:t>
      </w:r>
      <w:r>
        <w:fldChar w:fldCharType="end"/>
      </w:r>
    </w:p>
    <w:p>
      <w:pPr>
        <w:spacing w:before="306" w:line="189" w:lineRule="auto"/>
        <w:ind w:left="63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"bookmark8"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四、财政拨款收入支出决算总体情况说明</w:t>
      </w:r>
      <w:r>
        <w:fldChar w:fldCharType="end"/>
      </w:r>
    </w:p>
    <w:p>
      <w:pPr>
        <w:spacing w:before="307" w:line="189" w:lineRule="auto"/>
        <w:ind w:left="37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"bookmark9"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五、一般公共预算财政拨款支出决算情况说明</w:t>
      </w:r>
      <w:r>
        <w:fldChar w:fldCharType="end"/>
      </w:r>
    </w:p>
    <w:p>
      <w:pPr>
        <w:spacing w:before="307" w:line="189" w:lineRule="auto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"bookmark10"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六、一般公共预算财政拨款基本支出决算情况说明</w:t>
      </w:r>
      <w:r>
        <w:fldChar w:fldCharType="end"/>
      </w:r>
    </w:p>
    <w:p>
      <w:pPr>
        <w:spacing w:before="306" w:line="189" w:lineRule="auto"/>
        <w:ind w:left="3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"bookmark11"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七、财政拨款“三公”经费支出决算情况说明</w:t>
      </w:r>
      <w:r>
        <w:fldChar w:fldCharType="end"/>
      </w:r>
    </w:p>
    <w:p>
      <w:pPr>
        <w:spacing w:before="307" w:line="189" w:lineRule="auto"/>
        <w:ind w:left="3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"bookmark12"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八、政府性基金预算财政拨款收入支出决算情况说明</w:t>
      </w:r>
      <w:r>
        <w:fldChar w:fldCharType="end"/>
      </w:r>
    </w:p>
    <w:p>
      <w:pPr>
        <w:spacing w:before="306" w:line="222" w:lineRule="auto"/>
        <w:ind w:left="3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"bookmark13" </w:instrText>
      </w:r>
      <w:r>
        <w:fldChar w:fldCharType="separate"/>
      </w:r>
      <w:r>
        <w:rPr>
          <w:rFonts w:ascii="仿宋" w:hAnsi="仿宋" w:eastAsia="仿宋" w:cs="仿宋"/>
          <w:spacing w:val="9"/>
          <w:sz w:val="31"/>
          <w:szCs w:val="31"/>
        </w:rPr>
        <w:t>九、国有资本经营预算财政拨款收入支出决算情况说明</w:t>
      </w:r>
      <w:r>
        <w:fldChar w:fldCharType="end"/>
      </w:r>
    </w:p>
    <w:p>
      <w:pPr>
        <w:spacing w:before="252" w:line="624" w:lineRule="exact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十、其他重要事项的情况说明</w:t>
      </w:r>
    </w:p>
    <w:p>
      <w:pPr>
        <w:spacing w:line="221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（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一）机关运行经费支出情况</w:t>
      </w:r>
    </w:p>
    <w:p>
      <w:pPr>
        <w:spacing w:before="254" w:line="222" w:lineRule="auto"/>
        <w:ind w:left="1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（</w:t>
      </w:r>
      <w:r>
        <w:rPr>
          <w:rFonts w:ascii="仿宋" w:hAnsi="仿宋" w:eastAsia="仿宋" w:cs="仿宋"/>
          <w:spacing w:val="-8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二）政府采购情况</w:t>
      </w:r>
    </w:p>
    <w:p>
      <w:pPr>
        <w:spacing w:before="250" w:line="624" w:lineRule="exact"/>
        <w:ind w:left="18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"bookmark14" </w:instrText>
      </w:r>
      <w:r>
        <w:fldChar w:fldCharType="separate"/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（三）国有资产占用情况说明</w:t>
      </w:r>
      <w:r>
        <w:fldChar w:fldCharType="end"/>
      </w:r>
    </w:p>
    <w:p>
      <w:pPr>
        <w:spacing w:line="189" w:lineRule="auto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"bookmark15"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十一、预算绩效的情况说明</w:t>
      </w:r>
      <w:r>
        <w:fldChar w:fldCharType="end"/>
      </w:r>
    </w:p>
    <w:p>
      <w:pPr>
        <w:spacing w:before="307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"bookmark16" </w:instrText>
      </w:r>
      <w:r>
        <w:fldChar w:fldCharType="separate"/>
      </w:r>
      <w:r>
        <w:rPr>
          <w:rFonts w:ascii="仿宋" w:hAnsi="仿宋" w:eastAsia="仿宋" w:cs="仿宋"/>
          <w:spacing w:val="7"/>
          <w:sz w:val="31"/>
          <w:szCs w:val="31"/>
        </w:rPr>
        <w:t>第三部分 专业名词解释</w:t>
      </w:r>
      <w:r>
        <w:fldChar w:fldCharType="end"/>
      </w:r>
    </w:p>
    <w:p>
      <w:pPr>
        <w:spacing w:before="306" w:line="189" w:lineRule="auto"/>
        <w:ind w:left="4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"bookmark17"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第四部分 部门决算报表（见附表）</w:t>
      </w:r>
      <w:r>
        <w:fldChar w:fldCharType="end"/>
      </w:r>
    </w:p>
    <w:p>
      <w:pPr>
        <w:spacing w:before="306" w:line="222" w:lineRule="auto"/>
        <w:ind w:left="46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"bookmark18"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一、《收入支出决算总表》</w:t>
      </w:r>
      <w:r>
        <w:fldChar w:fldCharType="end"/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5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4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"bookmark19" </w:instrText>
      </w:r>
      <w:r>
        <w:fldChar w:fldCharType="separate"/>
      </w:r>
      <w:r>
        <w:rPr>
          <w:rFonts w:ascii="仿宋" w:hAnsi="仿宋" w:eastAsia="仿宋" w:cs="仿宋"/>
          <w:spacing w:val="6"/>
          <w:position w:val="23"/>
          <w:sz w:val="31"/>
          <w:szCs w:val="31"/>
        </w:rPr>
        <w:t>二、《收入决算表》</w:t>
      </w:r>
      <w:r>
        <w:fldChar w:fldCharType="end"/>
      </w:r>
    </w:p>
    <w:p>
      <w:pPr>
        <w:spacing w:line="189" w:lineRule="auto"/>
        <w:ind w:left="5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"bookmark20" </w:instrText>
      </w:r>
      <w:r>
        <w:fldChar w:fldCharType="separate"/>
      </w:r>
      <w:r>
        <w:rPr>
          <w:rFonts w:ascii="仿宋" w:hAnsi="仿宋" w:eastAsia="仿宋" w:cs="仿宋"/>
          <w:spacing w:val="5"/>
          <w:sz w:val="31"/>
          <w:szCs w:val="31"/>
        </w:rPr>
        <w:t>三、《支出决算表》</w:t>
      </w:r>
      <w:r>
        <w:fldChar w:fldCharType="end"/>
      </w:r>
    </w:p>
    <w:p>
      <w:pPr>
        <w:spacing w:before="306" w:line="189" w:lineRule="auto"/>
        <w:ind w:left="63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"bookmark21" </w:instrText>
      </w:r>
      <w:r>
        <w:fldChar w:fldCharType="separate"/>
      </w:r>
      <w:r>
        <w:rPr>
          <w:rFonts w:ascii="仿宋" w:hAnsi="仿宋" w:eastAsia="仿宋" w:cs="仿宋"/>
          <w:spacing w:val="6"/>
          <w:sz w:val="31"/>
          <w:szCs w:val="31"/>
        </w:rPr>
        <w:t>四、《财政拨款收入支出决算总表》</w:t>
      </w:r>
      <w:r>
        <w:fldChar w:fldCharType="end"/>
      </w:r>
    </w:p>
    <w:p>
      <w:pPr>
        <w:spacing w:before="306" w:line="189" w:lineRule="auto"/>
        <w:ind w:left="37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"bookmark22"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五、《一般公共预算财政拨款支出决算表》</w:t>
      </w:r>
      <w:r>
        <w:fldChar w:fldCharType="end"/>
      </w:r>
    </w:p>
    <w:p>
      <w:pPr>
        <w:spacing w:before="306" w:line="624" w:lineRule="exact"/>
        <w:ind w:left="40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"bookmark23" </w:instrText>
      </w:r>
      <w:r>
        <w:fldChar w:fldCharType="separate"/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六、《一般公共预算财政拨款基本支出决算表》</w:t>
      </w:r>
      <w:r>
        <w:fldChar w:fldCharType="end"/>
      </w:r>
    </w:p>
    <w:p>
      <w:pPr>
        <w:spacing w:line="189" w:lineRule="auto"/>
        <w:ind w:left="34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"bookmark24"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七、《财政拨款“三公”经费支出决算表》</w:t>
      </w:r>
      <w:r>
        <w:fldChar w:fldCharType="end"/>
      </w:r>
    </w:p>
    <w:p>
      <w:pPr>
        <w:spacing w:before="307" w:line="220" w:lineRule="auto"/>
        <w:ind w:left="32"/>
        <w:rPr>
          <w:rFonts w:ascii="仿宋" w:hAnsi="仿宋" w:eastAsia="仿宋" w:cs="仿宋"/>
          <w:sz w:val="31"/>
          <w:szCs w:val="31"/>
        </w:rPr>
      </w:pPr>
      <w:r>
        <w:fldChar w:fldCharType="begin"/>
      </w:r>
      <w:r>
        <w:instrText xml:space="preserve">HYPERLINK  \l "bookmark25" </w:instrText>
      </w:r>
      <w:r>
        <w:fldChar w:fldCharType="separate"/>
      </w:r>
      <w:r>
        <w:rPr>
          <w:rFonts w:ascii="仿宋" w:hAnsi="仿宋" w:eastAsia="仿宋" w:cs="仿宋"/>
          <w:spacing w:val="8"/>
          <w:sz w:val="31"/>
          <w:szCs w:val="31"/>
        </w:rPr>
        <w:t>八、《政府性基金预算财政拨款收入支出决算表》</w:t>
      </w:r>
      <w:r>
        <w:fldChar w:fldCharType="end"/>
      </w:r>
    </w:p>
    <w:p>
      <w:pPr>
        <w:spacing w:before="253" w:line="222" w:lineRule="auto"/>
        <w:ind w:left="30"/>
        <w:outlineLvl w:val="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九、《国有资本经营预算财政拨款收入支出决算表》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6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3139"/>
        <w:rPr>
          <w:rFonts w:ascii="黑体" w:hAnsi="黑体" w:eastAsia="黑体" w:cs="黑体"/>
          <w:sz w:val="31"/>
          <w:szCs w:val="31"/>
        </w:rPr>
      </w:pPr>
      <w:bookmarkStart w:id="0" w:name="bookmark1"/>
      <w:bookmarkEnd w:id="0"/>
      <w:bookmarkStart w:id="1" w:name="bookmark2"/>
      <w:bookmarkEnd w:id="1"/>
      <w:r>
        <w:rPr>
          <w:rFonts w:ascii="黑体" w:hAnsi="黑体" w:eastAsia="黑体" w:cs="黑体"/>
          <w:spacing w:val="5"/>
          <w:sz w:val="31"/>
          <w:szCs w:val="31"/>
        </w:rPr>
        <w:t>第一部分</w:t>
      </w:r>
      <w:r>
        <w:rPr>
          <w:rFonts w:ascii="黑体" w:hAnsi="黑体" w:eastAsia="黑体" w:cs="黑体"/>
          <w:spacing w:val="30"/>
          <w:sz w:val="31"/>
          <w:szCs w:val="31"/>
        </w:rPr>
        <w:t xml:space="preserve"> </w:t>
      </w:r>
      <w:r>
        <w:rPr>
          <w:rFonts w:ascii="黑体" w:hAnsi="黑体" w:eastAsia="黑体" w:cs="黑体"/>
          <w:spacing w:val="5"/>
          <w:sz w:val="31"/>
          <w:szCs w:val="31"/>
        </w:rPr>
        <w:t>单位概况</w:t>
      </w:r>
    </w:p>
    <w:p>
      <w:pPr>
        <w:spacing w:before="243" w:line="228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2" w:name="bookmark3"/>
      <w:bookmarkEnd w:id="2"/>
      <w:r>
        <w:rPr>
          <w:rFonts w:ascii="黑体" w:hAnsi="黑体" w:eastAsia="黑体" w:cs="黑体"/>
          <w:spacing w:val="7"/>
          <w:sz w:val="31"/>
          <w:szCs w:val="31"/>
        </w:rPr>
        <w:t>一、主要职能</w:t>
      </w:r>
    </w:p>
    <w:p>
      <w:pPr>
        <w:spacing w:before="230" w:line="372" w:lineRule="auto"/>
        <w:ind w:left="19" w:firstLine="67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8"/>
          <w:sz w:val="31"/>
          <w:szCs w:val="31"/>
        </w:rPr>
        <w:t xml:space="preserve">新疆维吾尔自治区人大常委会办公厅及各工作委员会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工作担负着深入贯彻依法治国方略，加强社会主义民主政治  </w:t>
      </w:r>
      <w:r>
        <w:rPr>
          <w:rFonts w:ascii="仿宋" w:hAnsi="仿宋" w:eastAsia="仿宋" w:cs="仿宋"/>
          <w:spacing w:val="4"/>
          <w:sz w:val="31"/>
          <w:szCs w:val="31"/>
        </w:rPr>
        <w:t>建设，完善人民代表大会制度。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自治区人大常委会依法履行</w:t>
      </w:r>
      <w:r>
        <w:rPr>
          <w:rFonts w:ascii="仿宋" w:hAnsi="仿宋" w:eastAsia="仿宋" w:cs="仿宋"/>
          <w:spacing w:val="3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7"/>
          <w:sz w:val="31"/>
          <w:szCs w:val="31"/>
        </w:rPr>
        <w:t>国家权力机关职能。设立法制工作委员会、财政经济工作委  员会、监察和司法工作委员会、农业与农村工作委员会、教  育科学文化卫生工作委员会、民族宗教外事华侨</w:t>
      </w:r>
      <w:r>
        <w:rPr>
          <w:rFonts w:ascii="仿宋" w:hAnsi="仿宋" w:eastAsia="仿宋" w:cs="仿宋"/>
          <w:spacing w:val="6"/>
          <w:sz w:val="31"/>
          <w:szCs w:val="31"/>
        </w:rPr>
        <w:t>工作委员会、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代表人事工作委员会、环境与资源保护工作委员会、社会建  设委员会和自治区人大常委会办公厅。办公厅下设 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14 个处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室，办公厅是自治区人大常委会处理日常事务的综合性办事  机构，在常委会分管机关工作的副主任和秘书长的领导下开  </w:t>
      </w:r>
      <w:r>
        <w:rPr>
          <w:rFonts w:ascii="仿宋" w:hAnsi="仿宋" w:eastAsia="仿宋" w:cs="仿宋"/>
          <w:spacing w:val="4"/>
          <w:sz w:val="31"/>
          <w:szCs w:val="31"/>
        </w:rPr>
        <w:t>展工作，当好常委会领导的参谋助手，发挥办事机构的组织、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管理职能，为常委会和人大代表依法履行职责提供服务。其  主要工作职责是：负责自治区人民代表大会会议、常委会会  议、主任会议、主任办公会议、党组会议等会议的会务和服  务工作，以及常委会其他重大活动计划的拟定和实施中的具  体组织、协调等工作；负责常委会各项报告、文电和领导讲  </w:t>
      </w:r>
      <w:r>
        <w:rPr>
          <w:rFonts w:ascii="仿宋" w:hAnsi="仿宋" w:eastAsia="仿宋" w:cs="仿宋"/>
          <w:spacing w:val="5"/>
          <w:sz w:val="31"/>
          <w:szCs w:val="31"/>
        </w:rPr>
        <w:t>话的起草、审核、翻译、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 xml:space="preserve">印发和文书处理、档案管理。根据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常委会会议、主任会议和党组会议的决定，组织起草、审核  </w:t>
      </w:r>
      <w:r>
        <w:rPr>
          <w:rFonts w:ascii="仿宋" w:hAnsi="仿宋" w:eastAsia="仿宋" w:cs="仿宋"/>
          <w:spacing w:val="9"/>
          <w:sz w:val="31"/>
          <w:szCs w:val="31"/>
        </w:rPr>
        <w:t>以常委会、主任会议、常委会党组和以常委会办公厅名义印</w:t>
      </w:r>
    </w:p>
    <w:p>
      <w:pPr>
        <w:spacing w:line="222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发的文件；负责对中共中央、全国人大常委会、国务院、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自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7" w:type="default"/>
          <w:pgSz w:w="11906" w:h="16839"/>
          <w:pgMar w:top="1431" w:right="1546" w:bottom="1156" w:left="1785" w:header="0" w:footer="994" w:gutter="0"/>
          <w:cols w:space="720" w:num="1"/>
        </w:sectPr>
      </w:pPr>
    </w:p>
    <w:p>
      <w:pPr>
        <w:spacing w:before="162" w:line="372" w:lineRule="auto"/>
        <w:ind w:left="29" w:right="255" w:firstLine="1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治区党委、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自治区人民政府、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自治区高级人民法院、</w:t>
      </w:r>
      <w:r>
        <w:rPr>
          <w:rFonts w:ascii="仿宋" w:hAnsi="仿宋" w:eastAsia="仿宋" w:cs="仿宋"/>
          <w:spacing w:val="-7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自治区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人民检察院及其他有关部门的来文，提出拟办意见</w:t>
      </w:r>
      <w:r>
        <w:rPr>
          <w:rFonts w:ascii="仿宋" w:hAnsi="仿宋" w:eastAsia="仿宋" w:cs="仿宋"/>
          <w:spacing w:val="8"/>
          <w:sz w:val="31"/>
          <w:szCs w:val="31"/>
        </w:rPr>
        <w:t>，报领导</w:t>
      </w:r>
    </w:p>
    <w:p>
      <w:pPr>
        <w:spacing w:line="220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批示后，及时送达有关工作机构办理，收集贯彻落实情况，</w:t>
      </w:r>
    </w:p>
    <w:p>
      <w:pPr>
        <w:spacing w:before="242" w:line="372" w:lineRule="auto"/>
        <w:ind w:left="22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并向有关部门报告；负责对贯彻落实常委会</w:t>
      </w:r>
      <w:r>
        <w:rPr>
          <w:rFonts w:ascii="仿宋" w:hAnsi="仿宋" w:eastAsia="仿宋" w:cs="仿宋"/>
          <w:spacing w:val="3"/>
          <w:sz w:val="31"/>
          <w:szCs w:val="31"/>
        </w:rPr>
        <w:t>会议、主任会议、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 xml:space="preserve">党组会议决定事项及常委会领导重要批示的组织实施和督  </w:t>
      </w:r>
      <w:r>
        <w:rPr>
          <w:rFonts w:ascii="仿宋" w:hAnsi="仿宋" w:eastAsia="仿宋" w:cs="仿宋"/>
          <w:spacing w:val="7"/>
          <w:sz w:val="31"/>
          <w:szCs w:val="31"/>
        </w:rPr>
        <w:t>促检查工作；负责人民代表大会制度理论和地方人大工作研  究，并围绕相关调研课题开展调查研究，提出调研报告；负  责与新闻单位的联系，做好自治区人民代表大会及其常务委  员会新闻宣传工作；负责组织国家法律和地方</w:t>
      </w:r>
      <w:r>
        <w:rPr>
          <w:rFonts w:ascii="仿宋" w:hAnsi="仿宋" w:eastAsia="仿宋" w:cs="仿宋"/>
          <w:spacing w:val="6"/>
          <w:sz w:val="31"/>
          <w:szCs w:val="31"/>
        </w:rPr>
        <w:t>性法规维吾尔、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哈萨克文的翻译和审定工作；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负责常委会机关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办公自动化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和信息网络化的统一规划、建设和人员培训工作，指导全区  </w:t>
      </w:r>
      <w:r>
        <w:rPr>
          <w:rFonts w:ascii="仿宋" w:hAnsi="仿宋" w:eastAsia="仿宋" w:cs="仿宋"/>
          <w:spacing w:val="11"/>
          <w:sz w:val="31"/>
          <w:szCs w:val="31"/>
        </w:rPr>
        <w:t>人大系统办公自动化建设工作；</w:t>
      </w:r>
      <w:r>
        <w:rPr>
          <w:rFonts w:ascii="仿宋" w:hAnsi="仿宋" w:eastAsia="仿宋" w:cs="仿宋"/>
          <w:spacing w:val="6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负责常委会信</w:t>
      </w:r>
      <w:r>
        <w:rPr>
          <w:rFonts w:ascii="仿宋" w:hAnsi="仿宋" w:eastAsia="仿宋" w:cs="仿宋"/>
          <w:spacing w:val="10"/>
          <w:sz w:val="31"/>
          <w:szCs w:val="31"/>
        </w:rPr>
        <w:t xml:space="preserve">访接待与处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理工作；负责常委会的外事接待和内宾接待工作；负责常委  会机关干部人事管理及离退休人员的管理工作；负责常委会  机关值班、保卫、机要、保密、财务、基建、房产管理和后  勤保障等工作；负责常委会领导的办公和生活后勤服务及事  业单位的管理工作；负责自治区代表团赴京参加全国人代会  的服务保障工作。协同常委会有关工作机构做好自治区选出  </w:t>
      </w:r>
      <w:r>
        <w:rPr>
          <w:rFonts w:ascii="仿宋" w:hAnsi="仿宋" w:eastAsia="仿宋" w:cs="仿宋"/>
          <w:spacing w:val="4"/>
          <w:sz w:val="31"/>
          <w:szCs w:val="31"/>
        </w:rPr>
        <w:t>的全国人大代表、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自治区人大代表开展视察活动和专题调研  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的相关服务工作。协同有关工作委员会做好全国人大常委会  </w:t>
      </w:r>
      <w:r>
        <w:rPr>
          <w:rFonts w:ascii="仿宋" w:hAnsi="仿宋" w:eastAsia="仿宋" w:cs="仿宋"/>
          <w:spacing w:val="9"/>
          <w:sz w:val="31"/>
          <w:szCs w:val="31"/>
        </w:rPr>
        <w:t>或其专门委员会、工作机构来我区开展执法检查、考察、调</w:t>
      </w:r>
    </w:p>
    <w:p>
      <w:pPr>
        <w:spacing w:line="220" w:lineRule="auto"/>
        <w:ind w:left="1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研活动的安排、会务、服务保障等工作；负责对常委会或者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8" w:type="default"/>
          <w:pgSz w:w="11906" w:h="16839"/>
          <w:pgMar w:top="1431" w:right="1543" w:bottom="1153" w:left="1785" w:header="0" w:footer="994" w:gutter="0"/>
          <w:cols w:space="720" w:num="1"/>
        </w:sectPr>
      </w:pPr>
    </w:p>
    <w:p>
      <w:pPr>
        <w:spacing w:before="161" w:line="372" w:lineRule="auto"/>
        <w:ind w:left="120" w:right="110" w:firstLine="1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专门委员会、工作委员会的有关工作与自治区党委办公厅、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自治区人民政府办公厅、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自治区高级人民法院和自治区人民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检察院办公室或者各州市人大常委会、地区人大工作委员会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办公室进行联系、沟通和协调。完成常委会领导和秘书长交</w:t>
      </w:r>
    </w:p>
    <w:p>
      <w:pPr>
        <w:spacing w:before="1" w:line="221" w:lineRule="auto"/>
        <w:ind w:left="1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办的其他事项。</w:t>
      </w:r>
    </w:p>
    <w:p>
      <w:pPr>
        <w:spacing w:before="250" w:line="226" w:lineRule="auto"/>
        <w:ind w:left="770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二、机构设置及人员情况</w:t>
      </w:r>
    </w:p>
    <w:p>
      <w:pPr>
        <w:spacing w:before="244" w:line="372" w:lineRule="auto"/>
        <w:ind w:left="137" w:right="93" w:firstLine="632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新疆维吾尔自治区人民代表大会常务委员会办公厅(本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级）2022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年度，实有人数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414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人，其中：在职人员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176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人，</w:t>
      </w:r>
    </w:p>
    <w:p>
      <w:pPr>
        <w:spacing w:line="220" w:lineRule="auto"/>
        <w:ind w:left="1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离休人员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5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人，退休人员</w:t>
      </w:r>
      <w:r>
        <w:rPr>
          <w:rFonts w:ascii="仿宋" w:hAnsi="仿宋" w:eastAsia="仿宋" w:cs="仿宋"/>
          <w:spacing w:val="-50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233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人。</w:t>
      </w:r>
    </w:p>
    <w:p>
      <w:pPr>
        <w:widowControl/>
        <w:wordWrap/>
        <w:topLinePunct w:val="1"/>
        <w:autoSpaceDE w:val="0"/>
        <w:autoSpaceDN w:val="0"/>
        <w:adjustRightInd w:val="0"/>
        <w:snapToGrid w:val="0"/>
        <w:spacing w:before="252" w:line="372" w:lineRule="auto"/>
        <w:ind w:left="129" w:leftChars="0" w:right="113" w:firstLine="643" w:firstLineChars="0"/>
        <w:jc w:val="both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从部门决算单位构成看，新疆维吾尔自治区人民代表大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会常务委员会办公厅(本级）部门决算包括：新疆维吾尔自</w:t>
      </w:r>
      <w:r>
        <w:rPr>
          <w:rFonts w:ascii="仿宋" w:hAnsi="仿宋" w:eastAsia="仿宋" w:cs="仿宋"/>
          <w:spacing w:val="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治区人民代表大会常务委员会办公厅</w:t>
      </w:r>
      <w:r>
        <w:rPr>
          <w:rFonts w:hint="eastAsia" w:ascii="仿宋" w:hAnsi="仿宋" w:eastAsia="仿宋" w:cs="仿宋"/>
          <w:spacing w:val="14"/>
          <w:sz w:val="31"/>
          <w:szCs w:val="31"/>
          <w:lang w:val="en-US" w:eastAsia="zh-CN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(本级）部门本级决算</w:t>
      </w:r>
      <w:r>
        <w:rPr>
          <w:rFonts w:hint="eastAsia" w:ascii="仿宋" w:hAnsi="仿宋" w:eastAsia="仿宋" w:cs="仿宋"/>
          <w:spacing w:val="7"/>
          <w:sz w:val="31"/>
          <w:szCs w:val="31"/>
          <w:lang w:val="en-US" w:eastAsia="zh-CN"/>
        </w:rPr>
        <w:t>,单位无下属预算单位</w:t>
      </w:r>
      <w:r>
        <w:rPr>
          <w:rFonts w:ascii="仿宋" w:hAnsi="仿宋" w:eastAsia="仿宋" w:cs="仿宋"/>
          <w:spacing w:val="7"/>
          <w:sz w:val="31"/>
          <w:szCs w:val="31"/>
        </w:rPr>
        <w:t>。</w:t>
      </w:r>
    </w:p>
    <w:p>
      <w:pPr>
        <w:widowControl/>
        <w:kinsoku w:val="0"/>
        <w:wordWrap/>
        <w:autoSpaceDE w:val="0"/>
        <w:autoSpaceDN w:val="0"/>
        <w:adjustRightInd w:val="0"/>
        <w:snapToGrid w:val="0"/>
        <w:spacing w:line="372" w:lineRule="auto"/>
        <w:ind w:left="115" w:leftChars="0" w:right="15" w:firstLine="654" w:firstLineChars="0"/>
        <w:jc w:val="both"/>
        <w:textAlignment w:val="baseline"/>
        <w:outlineLvl w:val="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新疆维吾尔自治区人民代表大会常务委员会办公厅(本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级）本级下设14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个处室，分别是：机关党委、人事处、调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研室、信访局、督察处、行政处、会务处、翻译处、保卫处、</w:t>
      </w:r>
    </w:p>
    <w:p>
      <w:pPr>
        <w:spacing w:before="1" w:line="221" w:lineRule="auto"/>
        <w:ind w:left="12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老干处、秘书处、新闻处、培训中心、信息中</w:t>
      </w:r>
      <w:r>
        <w:rPr>
          <w:rFonts w:ascii="仿宋" w:hAnsi="仿宋" w:eastAsia="仿宋" w:cs="仿宋"/>
          <w:spacing w:val="8"/>
          <w:sz w:val="31"/>
          <w:szCs w:val="31"/>
        </w:rPr>
        <w:t>心。</w:t>
      </w:r>
    </w:p>
    <w:p>
      <w:pPr>
        <w:pStyle w:val="2"/>
      </w:pPr>
    </w:p>
    <w:p>
      <w:pPr>
        <w:sectPr>
          <w:footerReference r:id="rId9" w:type="default"/>
          <w:pgSz w:w="11906" w:h="16839"/>
          <w:pgMar w:top="1431" w:right="1689" w:bottom="1153" w:left="1688" w:header="0" w:footer="994" w:gutter="0"/>
          <w:cols w:space="720" w:num="1"/>
        </w:sectPr>
      </w:pPr>
    </w:p>
    <w:p>
      <w:pPr>
        <w:spacing w:before="163" w:line="226" w:lineRule="auto"/>
        <w:ind w:left="2498"/>
        <w:rPr>
          <w:rFonts w:ascii="黑体" w:hAnsi="黑体" w:eastAsia="黑体" w:cs="黑体"/>
          <w:sz w:val="31"/>
          <w:szCs w:val="31"/>
        </w:rPr>
      </w:pPr>
      <w:bookmarkStart w:id="3" w:name="bookmark5"/>
      <w:bookmarkEnd w:id="3"/>
      <w:r>
        <w:rPr>
          <w:rFonts w:ascii="黑体" w:hAnsi="黑体" w:eastAsia="黑体" w:cs="黑体"/>
          <w:spacing w:val="8"/>
          <w:sz w:val="31"/>
          <w:szCs w:val="31"/>
        </w:rPr>
        <w:t>第二部分 部门决算情况说明</w:t>
      </w:r>
    </w:p>
    <w:p>
      <w:pPr>
        <w:spacing w:before="244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一、收入支出决算总体情况说明</w:t>
      </w:r>
    </w:p>
    <w:p>
      <w:pPr>
        <w:spacing w:before="242" w:line="372" w:lineRule="auto"/>
        <w:ind w:left="34" w:right="91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年度收入总计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13,340.95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万元，其中：本年收入合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计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11,957.10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万元，使用非财政拨款</w:t>
      </w:r>
      <w:r>
        <w:rPr>
          <w:rFonts w:ascii="仿宋" w:hAnsi="仿宋" w:eastAsia="仿宋" w:cs="仿宋"/>
          <w:spacing w:val="6"/>
          <w:sz w:val="31"/>
          <w:szCs w:val="31"/>
        </w:rPr>
        <w:t>结余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0.00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万元，年初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结转和结余</w:t>
      </w:r>
      <w:r>
        <w:rPr>
          <w:rFonts w:ascii="仿宋" w:hAnsi="仿宋" w:eastAsia="仿宋" w:cs="仿宋"/>
          <w:spacing w:val="-1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1,383.85</w:t>
      </w:r>
      <w:r>
        <w:rPr>
          <w:rFonts w:ascii="仿宋" w:hAnsi="仿宋" w:eastAsia="仿宋" w:cs="仿宋"/>
          <w:spacing w:val="-2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7"/>
          <w:sz w:val="31"/>
          <w:szCs w:val="31"/>
        </w:rPr>
        <w:t>万元。收入总计与上年相比，增加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1,810.18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万元，增长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15.70%，主要原因是：本年度，财政</w:t>
      </w:r>
    </w:p>
    <w:p>
      <w:pPr>
        <w:spacing w:before="1" w:line="219" w:lineRule="auto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拨款收入、暂存款等其他收入都增加，收入总计较上年增长。</w:t>
      </w:r>
    </w:p>
    <w:p>
      <w:pPr>
        <w:spacing w:before="252" w:line="372" w:lineRule="auto"/>
        <w:ind w:left="22" w:right="89" w:firstLine="64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5"/>
          <w:sz w:val="31"/>
          <w:szCs w:val="31"/>
        </w:rPr>
        <w:t>本年支出总计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13,340.95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万元，其中：本年支出合计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12,379.07 万元，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结余分配 0.00</w:t>
      </w:r>
      <w:r>
        <w:rPr>
          <w:rFonts w:ascii="仿宋" w:hAnsi="仿宋" w:eastAsia="仿宋" w:cs="仿宋"/>
          <w:spacing w:val="-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5"/>
          <w:sz w:val="31"/>
          <w:szCs w:val="31"/>
        </w:rPr>
        <w:t>万元，年末结转和结余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961.88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万元。支出总计与上年相比，增加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1,810.18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增长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15.70%，主要原因是：本年度，财政拨款支出、暂存款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等其他支出增加，支出总计较上年增长。</w:t>
      </w:r>
    </w:p>
    <w:p>
      <w:pPr>
        <w:spacing w:before="251" w:line="226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4" w:name="bookmark6"/>
      <w:bookmarkEnd w:id="4"/>
      <w:r>
        <w:rPr>
          <w:rFonts w:ascii="黑体" w:hAnsi="黑体" w:eastAsia="黑体" w:cs="黑体"/>
          <w:spacing w:val="8"/>
          <w:sz w:val="31"/>
          <w:szCs w:val="31"/>
        </w:rPr>
        <w:t>二、收入决算情况说明</w:t>
      </w:r>
    </w:p>
    <w:p>
      <w:pPr>
        <w:spacing w:before="243" w:line="372" w:lineRule="auto"/>
        <w:ind w:left="29" w:right="90" w:firstLine="65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5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年度本年收入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11,957.10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万元，其中：财政拨款收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入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11,710.80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97.94%；上级补助收入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0.00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占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0.00%；事业收入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6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占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</w:t>
      </w:r>
      <w:r>
        <w:rPr>
          <w:rFonts w:ascii="仿宋" w:hAnsi="仿宋" w:eastAsia="仿宋" w:cs="仿宋"/>
          <w:spacing w:val="3"/>
          <w:sz w:val="31"/>
          <w:szCs w:val="31"/>
        </w:rPr>
        <w:t>0%；经营收入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</w:t>
      </w:r>
      <w:r>
        <w:rPr>
          <w:rFonts w:ascii="仿宋" w:hAnsi="仿宋" w:eastAsia="仿宋" w:cs="仿宋"/>
          <w:spacing w:val="-6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0.00%；附属单位上缴收入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0.00%；</w:t>
      </w:r>
    </w:p>
    <w:p>
      <w:pPr>
        <w:spacing w:before="1" w:line="221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其他收入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246.30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  <w:r>
        <w:rPr>
          <w:rFonts w:ascii="仿宋" w:hAnsi="仿宋" w:eastAsia="仿宋" w:cs="仿宋"/>
          <w:spacing w:val="-7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2.06%。</w:t>
      </w:r>
    </w:p>
    <w:p>
      <w:pPr>
        <w:spacing w:before="251" w:line="226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bookmarkStart w:id="5" w:name="bookmark7"/>
      <w:bookmarkEnd w:id="5"/>
      <w:r>
        <w:rPr>
          <w:rFonts w:ascii="黑体" w:hAnsi="黑体" w:eastAsia="黑体" w:cs="黑体"/>
          <w:spacing w:val="8"/>
          <w:sz w:val="31"/>
          <w:szCs w:val="31"/>
        </w:rPr>
        <w:t>三、支出决算情况说明</w:t>
      </w:r>
    </w:p>
    <w:p>
      <w:pPr>
        <w:spacing w:before="244" w:line="372" w:lineRule="auto"/>
        <w:ind w:left="41" w:right="91" w:firstLine="63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2022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年度本年支出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12,379.07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万元，其中：基本支出</w:t>
      </w:r>
      <w:r>
        <w:rPr>
          <w:rFonts w:ascii="仿宋" w:hAnsi="仿宋" w:eastAsia="仿宋" w:cs="仿宋"/>
          <w:sz w:val="31"/>
          <w:szCs w:val="31"/>
        </w:rPr>
        <w:t xml:space="preserve"> 6,907.86 万元，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 55.80%；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项目支出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5,471.21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</w:p>
    <w:p>
      <w:pPr>
        <w:spacing w:before="1"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44.20%；上缴上级支出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3"/>
          <w:sz w:val="31"/>
          <w:szCs w:val="31"/>
        </w:rPr>
        <w:t>.00%；经营支出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0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spacing w:before="164" w:line="221" w:lineRule="auto"/>
        <w:jc w:val="right"/>
        <w:rPr>
          <w:rFonts w:ascii="仿宋" w:hAnsi="仿宋" w:eastAsia="仿宋" w:cs="仿宋"/>
          <w:sz w:val="31"/>
          <w:szCs w:val="31"/>
        </w:rPr>
      </w:pPr>
      <w:bookmarkStart w:id="6" w:name="bookmark8"/>
      <w:bookmarkEnd w:id="6"/>
      <w:r>
        <w:rPr>
          <w:rFonts w:ascii="仿宋" w:hAnsi="仿宋" w:eastAsia="仿宋" w:cs="仿宋"/>
          <w:spacing w:val="-5"/>
          <w:sz w:val="31"/>
          <w:szCs w:val="31"/>
        </w:rPr>
        <w:t>万元，占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0.00%；对附属单位补助支出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万元，占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5"/>
          <w:sz w:val="31"/>
          <w:szCs w:val="31"/>
        </w:rPr>
        <w:t>0.00%。</w:t>
      </w:r>
    </w:p>
    <w:p>
      <w:pPr>
        <w:spacing w:before="252" w:line="226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四、财政拨款收入支出决算总体情况说明</w:t>
      </w:r>
    </w:p>
    <w:p>
      <w:pPr>
        <w:spacing w:before="242" w:line="372" w:lineRule="auto"/>
        <w:ind w:left="26" w:right="91" w:firstLine="6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2022</w:t>
      </w:r>
      <w:r>
        <w:rPr>
          <w:rFonts w:ascii="仿宋" w:hAnsi="仿宋" w:eastAsia="仿宋" w:cs="仿宋"/>
          <w:spacing w:val="-5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年度财政拨款收入总计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12,618.64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万元，其中：年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初财政拨款结转和结余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907.84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万元，财</w:t>
      </w:r>
      <w:r>
        <w:rPr>
          <w:rFonts w:ascii="仿宋" w:hAnsi="仿宋" w:eastAsia="仿宋" w:cs="仿宋"/>
          <w:spacing w:val="21"/>
          <w:sz w:val="31"/>
          <w:szCs w:val="31"/>
        </w:rPr>
        <w:t>政拨款本年收入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11,710.80 万元。</w:t>
      </w:r>
      <w:r>
        <w:rPr>
          <w:rFonts w:ascii="仿宋" w:hAnsi="仿宋" w:eastAsia="仿宋" w:cs="仿宋"/>
          <w:spacing w:val="-5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6"/>
          <w:sz w:val="31"/>
          <w:szCs w:val="31"/>
        </w:rPr>
        <w:t>财政拨款收入总计与上年相比，增加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1,802.60</w:t>
      </w:r>
      <w:r>
        <w:rPr>
          <w:rFonts w:ascii="仿宋" w:hAnsi="仿宋" w:eastAsia="仿宋" w:cs="仿宋"/>
          <w:spacing w:val="-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万元，增长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16.67%，主要原因是：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一、年中调增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人员工资基数从而财政拨款基本收入增加；二、财</w:t>
      </w:r>
      <w:r>
        <w:rPr>
          <w:rFonts w:ascii="仿宋" w:hAnsi="仿宋" w:eastAsia="仿宋" w:cs="仿宋"/>
          <w:spacing w:val="8"/>
          <w:sz w:val="31"/>
          <w:szCs w:val="31"/>
        </w:rPr>
        <w:t>政拨款项</w:t>
      </w:r>
    </w:p>
    <w:p>
      <w:pPr>
        <w:spacing w:before="1" w:line="221" w:lineRule="auto"/>
        <w:ind w:left="8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目预算增加。财政拨款收入总计较上年度增长。</w:t>
      </w:r>
    </w:p>
    <w:p>
      <w:pPr>
        <w:spacing w:before="248" w:line="372" w:lineRule="auto"/>
        <w:ind w:left="22" w:right="7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财政拨款支出总计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12,618.64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万元，其中：</w:t>
      </w:r>
      <w:r>
        <w:rPr>
          <w:rFonts w:ascii="仿宋" w:hAnsi="仿宋" w:eastAsia="仿宋" w:cs="仿宋"/>
          <w:spacing w:val="4"/>
          <w:sz w:val="31"/>
          <w:szCs w:val="31"/>
        </w:rPr>
        <w:t>年末财政拨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款结转和结余</w:t>
      </w:r>
      <w:r>
        <w:rPr>
          <w:rFonts w:ascii="仿宋" w:hAnsi="仿宋" w:eastAsia="仿宋" w:cs="仿宋"/>
          <w:spacing w:val="-2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517.87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万元，财政拨款本年支出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12,100.77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万元。财政拨款支出总计与上年相比，增加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1,802.60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增长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16.67%，主要原因是：一、年中调增人员工资基数从而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财政拨款基本支出增加；二、财政拨款项目预算增加。财政</w:t>
      </w:r>
    </w:p>
    <w:p>
      <w:pPr>
        <w:spacing w:before="1"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拨款支出总计较上年度增长。</w:t>
      </w:r>
    </w:p>
    <w:p>
      <w:pPr>
        <w:spacing w:before="247" w:line="372" w:lineRule="auto"/>
        <w:ind w:left="30" w:right="89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与年初预算数相比情况：财政拨款收入总计年初预算数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8,730.02 万元，</w:t>
      </w:r>
      <w:r>
        <w:rPr>
          <w:rFonts w:ascii="仿宋" w:hAnsi="仿宋" w:eastAsia="仿宋" w:cs="仿宋"/>
          <w:spacing w:val="-7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决算数 12,618.64 万元，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预决算差异率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44.54%，主要原因是：本年中期，追加人员经费预</w:t>
      </w:r>
      <w:r>
        <w:rPr>
          <w:rFonts w:ascii="仿宋" w:hAnsi="仿宋" w:eastAsia="仿宋" w:cs="仿宋"/>
          <w:spacing w:val="7"/>
          <w:sz w:val="31"/>
          <w:szCs w:val="31"/>
        </w:rPr>
        <w:t>算收入，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财政拨款收入总计形成预决算差异。财政拨款支出总计年初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预算数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8,730.02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12,</w:t>
      </w:r>
      <w:r>
        <w:rPr>
          <w:rFonts w:ascii="仿宋" w:hAnsi="仿宋" w:eastAsia="仿宋" w:cs="仿宋"/>
          <w:spacing w:val="6"/>
          <w:sz w:val="31"/>
          <w:szCs w:val="31"/>
        </w:rPr>
        <w:t>618.64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万元，预决算差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异率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44.54%，主要原因是：本年中期，追加人员经费预算支</w:t>
      </w:r>
    </w:p>
    <w:p>
      <w:pPr>
        <w:spacing w:before="1" w:line="221" w:lineRule="auto"/>
        <w:ind w:left="67"/>
        <w:rPr>
          <w:rFonts w:ascii="仿宋" w:hAnsi="仿宋" w:eastAsia="仿宋" w:cs="仿宋"/>
          <w:sz w:val="31"/>
          <w:szCs w:val="31"/>
        </w:rPr>
      </w:pPr>
      <w:bookmarkStart w:id="7" w:name="bookmark9"/>
      <w:bookmarkEnd w:id="7"/>
      <w:r>
        <w:rPr>
          <w:rFonts w:ascii="仿宋" w:hAnsi="仿宋" w:eastAsia="仿宋" w:cs="仿宋"/>
          <w:spacing w:val="6"/>
          <w:sz w:val="31"/>
          <w:szCs w:val="31"/>
        </w:rPr>
        <w:t>出，财政拨款支出总计形成预决算差异。</w:t>
      </w:r>
    </w:p>
    <w:p>
      <w:pPr>
        <w:spacing w:before="251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五、一般公共预算财政拨款支出决算情况说明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11" w:type="default"/>
          <w:pgSz w:w="11906" w:h="16839"/>
          <w:pgMar w:top="1431" w:right="1710" w:bottom="1156" w:left="1785" w:header="0" w:footer="994" w:gutter="0"/>
          <w:cols w:space="720" w:num="1"/>
        </w:sectPr>
      </w:pPr>
    </w:p>
    <w:p>
      <w:pPr>
        <w:spacing w:before="163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（一）一般公共预算财政拨款支出决算总体情况</w:t>
      </w:r>
    </w:p>
    <w:p>
      <w:pPr>
        <w:spacing w:before="300" w:line="357" w:lineRule="auto"/>
        <w:ind w:left="34" w:right="64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2022</w:t>
      </w:r>
      <w:r>
        <w:rPr>
          <w:rFonts w:ascii="仿宋" w:hAnsi="仿宋" w:eastAsia="仿宋" w:cs="仿宋"/>
          <w:spacing w:val="-5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年度一般公共预算财政拨款支出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1"/>
          <w:sz w:val="31"/>
          <w:szCs w:val="31"/>
        </w:rPr>
        <w:t>2,100.77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占本年支出合计的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97.75%，与上年相比，增加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2,192.43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元，增长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22.13%，主要原因是：一、年中调增人员工资基数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从而财政拨款基本支出增加；二、财政拨款</w:t>
      </w:r>
      <w:r>
        <w:rPr>
          <w:rFonts w:ascii="仿宋" w:hAnsi="仿宋" w:eastAsia="仿宋" w:cs="仿宋"/>
          <w:spacing w:val="8"/>
          <w:sz w:val="31"/>
          <w:szCs w:val="31"/>
        </w:rPr>
        <w:t>项目预算增加。</w:t>
      </w:r>
    </w:p>
    <w:p>
      <w:pPr>
        <w:spacing w:before="1" w:line="221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一般公共预算财政拨款支出较上年增加。</w:t>
      </w:r>
    </w:p>
    <w:p>
      <w:pPr>
        <w:spacing w:before="174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（二）一般公共预算财政拨款支出决算结构情况</w:t>
      </w:r>
    </w:p>
    <w:p>
      <w:pPr>
        <w:spacing w:before="246" w:line="222" w:lineRule="auto"/>
        <w:ind w:left="68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1.一般公共服务支出(类)10,234.18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万元,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8</w:t>
      </w:r>
      <w:r>
        <w:rPr>
          <w:rFonts w:ascii="仿宋" w:hAnsi="仿宋" w:eastAsia="仿宋" w:cs="仿宋"/>
          <w:spacing w:val="1"/>
          <w:sz w:val="31"/>
          <w:szCs w:val="31"/>
        </w:rPr>
        <w:t>4.57%。</w:t>
      </w:r>
    </w:p>
    <w:p>
      <w:pPr>
        <w:spacing w:before="250" w:line="221" w:lineRule="auto"/>
        <w:ind w:left="679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2.社会保障和就业支出(类)1,244.48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万元,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占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10.28%。</w:t>
      </w:r>
    </w:p>
    <w:p>
      <w:pPr>
        <w:spacing w:before="253" w:line="222" w:lineRule="auto"/>
        <w:ind w:left="692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3.卫生健康支出(类)348.91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2.88%。</w:t>
      </w:r>
    </w:p>
    <w:p>
      <w:pPr>
        <w:spacing w:before="250" w:line="221" w:lineRule="auto"/>
        <w:ind w:left="678"/>
        <w:outlineLvl w:val="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4.住房保障支出(类)273.20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万元,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2.27%。</w:t>
      </w:r>
    </w:p>
    <w:p>
      <w:pPr>
        <w:spacing w:before="252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（三）一般公共预算财政拨款支出决算具体情况</w:t>
      </w:r>
    </w:p>
    <w:p>
      <w:pPr>
        <w:spacing w:before="243" w:line="372" w:lineRule="auto"/>
        <w:ind w:left="21" w:firstLine="66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1.一般公共服务支出(类)人大事务(款)行政运行(项):</w:t>
      </w:r>
      <w:r>
        <w:rPr>
          <w:rFonts w:ascii="仿宋" w:hAnsi="仿宋" w:eastAsia="仿宋" w:cs="仿宋"/>
          <w:spacing w:val="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支出决算数为</w:t>
      </w:r>
      <w:r>
        <w:rPr>
          <w:rFonts w:ascii="仿宋" w:hAnsi="仿宋" w:eastAsia="仿宋" w:cs="仿宋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4,987.12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607.30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增长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13.87%,主要原因是:年中调增人员工资从而追加财政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基本支出预算收入，一般公共服务支出(类)人大事务(款)行</w:t>
      </w:r>
    </w:p>
    <w:p>
      <w:pPr>
        <w:spacing w:line="221" w:lineRule="auto"/>
        <w:ind w:left="32"/>
        <w:rPr>
          <w:rFonts w:ascii="仿宋" w:hAnsi="仿宋" w:eastAsia="仿宋" w:cs="仿宋"/>
          <w:sz w:val="31"/>
          <w:szCs w:val="31"/>
        </w:rPr>
      </w:pPr>
      <w:bookmarkStart w:id="8" w:name="bookmark10"/>
      <w:bookmarkEnd w:id="8"/>
      <w:r>
        <w:rPr>
          <w:rFonts w:ascii="仿宋" w:hAnsi="仿宋" w:eastAsia="仿宋" w:cs="仿宋"/>
          <w:spacing w:val="7"/>
          <w:sz w:val="31"/>
          <w:szCs w:val="31"/>
        </w:rPr>
        <w:t>政运行(项)支出较上年增长。</w:t>
      </w:r>
    </w:p>
    <w:p>
      <w:pPr>
        <w:spacing w:before="253" w:line="221" w:lineRule="auto"/>
        <w:ind w:left="679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2.一般公共服务支出(类)人大事务(款)一般行政管理</w:t>
      </w:r>
    </w:p>
    <w:p>
      <w:pPr>
        <w:spacing w:before="251" w:line="372" w:lineRule="auto"/>
        <w:ind w:left="30" w:right="81" w:firstLine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事务(项):支出决算数为</w:t>
      </w:r>
      <w:r>
        <w:rPr>
          <w:rFonts w:ascii="仿宋" w:hAnsi="仿宋" w:eastAsia="仿宋" w:cs="仿宋"/>
          <w:spacing w:val="-1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3,944.07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比上年决算增加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2,178.67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123.41%,主要</w:t>
      </w:r>
      <w:r>
        <w:rPr>
          <w:rFonts w:ascii="仿宋" w:hAnsi="仿宋" w:eastAsia="仿宋" w:cs="仿宋"/>
          <w:spacing w:val="4"/>
          <w:sz w:val="31"/>
          <w:szCs w:val="31"/>
        </w:rPr>
        <w:t>原因是:本年度，单位根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据工作安排新增</w:t>
      </w:r>
      <w:r>
        <w:rPr>
          <w:rFonts w:ascii="仿宋" w:hAnsi="仿宋" w:eastAsia="仿宋" w:cs="仿宋"/>
          <w:spacing w:val="-9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“人大信息化建设项目”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、</w:t>
      </w:r>
      <w:r>
        <w:rPr>
          <w:rFonts w:ascii="仿宋" w:hAnsi="仿宋" w:eastAsia="仿宋" w:cs="仿宋"/>
          <w:spacing w:val="-9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“人大融媒体中</w:t>
      </w:r>
    </w:p>
    <w:p>
      <w:pPr>
        <w:spacing w:before="1" w:line="222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心运营经费”等项目经费，一般公共服务支出(类)人大事务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2" w:type="default"/>
          <w:pgSz w:w="11906" w:h="16839"/>
          <w:pgMar w:top="1431" w:right="1718" w:bottom="1156" w:left="1785" w:header="0" w:footer="994" w:gutter="0"/>
          <w:cols w:space="720" w:num="1"/>
        </w:sectPr>
      </w:pPr>
    </w:p>
    <w:p>
      <w:pPr>
        <w:spacing w:before="164" w:line="221" w:lineRule="auto"/>
        <w:ind w:left="9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(款)一般行政管理事务(项)支出较上年增</w:t>
      </w:r>
      <w:r>
        <w:rPr>
          <w:rFonts w:ascii="仿宋" w:hAnsi="仿宋" w:eastAsia="仿宋" w:cs="仿宋"/>
          <w:spacing w:val="4"/>
          <w:sz w:val="31"/>
          <w:szCs w:val="31"/>
        </w:rPr>
        <w:t>长。</w:t>
      </w:r>
    </w:p>
    <w:p>
      <w:pPr>
        <w:spacing w:before="253" w:line="222" w:lineRule="auto"/>
        <w:ind w:right="15"/>
        <w:jc w:val="right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3.一般公共服务支出(类)人大事务(款)人大会议(项):</w:t>
      </w:r>
    </w:p>
    <w:p>
      <w:pPr>
        <w:spacing w:before="248" w:line="372" w:lineRule="auto"/>
        <w:ind w:left="40" w:right="15" w:hanging="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支出决算数为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596.74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比上年决</w:t>
      </w:r>
      <w:r>
        <w:rPr>
          <w:rFonts w:ascii="仿宋" w:hAnsi="仿宋" w:eastAsia="仿宋" w:cs="仿宋"/>
          <w:sz w:val="31"/>
          <w:szCs w:val="31"/>
        </w:rPr>
        <w:t>算减少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173.35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万元， </w:t>
      </w:r>
      <w:r>
        <w:rPr>
          <w:rFonts w:ascii="仿宋" w:hAnsi="仿宋" w:eastAsia="仿宋" w:cs="仿宋"/>
          <w:spacing w:val="4"/>
          <w:sz w:val="31"/>
          <w:szCs w:val="31"/>
        </w:rPr>
        <w:t>下降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22.51%,主要原因是:本年度，</w:t>
      </w:r>
      <w:r>
        <w:rPr>
          <w:rFonts w:ascii="仿宋" w:hAnsi="仿宋" w:eastAsia="仿宋" w:cs="仿宋"/>
          <w:spacing w:val="3"/>
          <w:sz w:val="31"/>
          <w:szCs w:val="31"/>
        </w:rPr>
        <w:t>单位根据工作安排压减人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大会议项目经费预算，一般公共服务支出(类)</w:t>
      </w:r>
      <w:r>
        <w:rPr>
          <w:rFonts w:ascii="仿宋" w:hAnsi="仿宋" w:eastAsia="仿宋" w:cs="仿宋"/>
          <w:spacing w:val="7"/>
          <w:sz w:val="31"/>
          <w:szCs w:val="31"/>
        </w:rPr>
        <w:t>人大事务(款)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人大会议(项)支出较上年度下降。</w:t>
      </w:r>
    </w:p>
    <w:p>
      <w:pPr>
        <w:spacing w:before="252" w:line="222" w:lineRule="auto"/>
        <w:ind w:right="15"/>
        <w:jc w:val="right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4.一般公共服务支出(类)人大事务(款)人大立法(项):</w:t>
      </w:r>
    </w:p>
    <w:p>
      <w:pPr>
        <w:spacing w:before="248" w:line="372" w:lineRule="auto"/>
        <w:ind w:left="40" w:right="14" w:hanging="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支出决算数为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66.66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比上年决算减少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13.34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元，下 </w:t>
      </w:r>
      <w:r>
        <w:rPr>
          <w:rFonts w:ascii="仿宋" w:hAnsi="仿宋" w:eastAsia="仿宋" w:cs="仿宋"/>
          <w:spacing w:val="3"/>
          <w:sz w:val="31"/>
          <w:szCs w:val="31"/>
        </w:rPr>
        <w:t>降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16.68%,主要原因是:本年度，单位根据工作安排压减人大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立法项目经费预算，一般公共服务支出(类)</w:t>
      </w:r>
      <w:r>
        <w:rPr>
          <w:rFonts w:ascii="仿宋" w:hAnsi="仿宋" w:eastAsia="仿宋" w:cs="仿宋"/>
          <w:spacing w:val="7"/>
          <w:sz w:val="31"/>
          <w:szCs w:val="31"/>
        </w:rPr>
        <w:t>人大事务(款)人</w:t>
      </w:r>
    </w:p>
    <w:p>
      <w:pPr>
        <w:spacing w:before="1"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大立法(项)支出较上年度下降。</w:t>
      </w:r>
    </w:p>
    <w:p>
      <w:pPr>
        <w:spacing w:before="253" w:line="222" w:lineRule="auto"/>
        <w:ind w:right="15"/>
        <w:jc w:val="right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5.一般公共服务支出(类)人大事务(款)人大监督(项):</w:t>
      </w:r>
    </w:p>
    <w:p>
      <w:pPr>
        <w:spacing w:before="248" w:line="372" w:lineRule="auto"/>
        <w:ind w:left="26" w:right="16" w:firstLine="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支出决算数为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156.92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比上年决算</w:t>
      </w:r>
      <w:r>
        <w:rPr>
          <w:rFonts w:ascii="仿宋" w:hAnsi="仿宋" w:eastAsia="仿宋" w:cs="仿宋"/>
          <w:spacing w:val="4"/>
          <w:sz w:val="31"/>
          <w:szCs w:val="31"/>
        </w:rPr>
        <w:t>减少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43.08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下降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21.54%,主要原因是:本年度，单位工作安排压减人大监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督项目经费预算，一般公共服务支出(类)人大事务(款)人大</w:t>
      </w:r>
    </w:p>
    <w:p>
      <w:pPr>
        <w:spacing w:before="2"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监督(项)支出较上年度下降。</w:t>
      </w:r>
    </w:p>
    <w:p>
      <w:pPr>
        <w:spacing w:before="252" w:line="220" w:lineRule="auto"/>
        <w:ind w:right="15"/>
        <w:jc w:val="right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6.一般公共服务支出(类)人大事务(款)代表工作(项):</w:t>
      </w:r>
    </w:p>
    <w:p>
      <w:pPr>
        <w:spacing w:before="252" w:line="372" w:lineRule="auto"/>
        <w:ind w:left="22" w:right="15" w:firstLine="1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支出决算数为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280.22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40.22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16.76%,主要原因是:本年度，单位根据工作安排增加代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表工作项目经费预算，一般公共服务支出(类)人大事务(款)</w:t>
      </w:r>
    </w:p>
    <w:p>
      <w:pPr>
        <w:spacing w:before="1" w:line="221" w:lineRule="auto"/>
        <w:ind w:left="2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人大监督(项)支出较上年度增长。</w:t>
      </w:r>
    </w:p>
    <w:p>
      <w:pPr>
        <w:spacing w:before="251" w:line="222" w:lineRule="auto"/>
        <w:ind w:right="16"/>
        <w:jc w:val="right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9"/>
          <w:sz w:val="31"/>
          <w:szCs w:val="31"/>
        </w:rPr>
        <w:t>7.一般公共服务支出(类)人大事务(款)其他人大事务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13" w:type="default"/>
          <w:pgSz w:w="11906" w:h="16839"/>
          <w:pgMar w:top="1431" w:right="1785" w:bottom="1156" w:left="1785" w:header="0" w:footer="994" w:gutter="0"/>
          <w:cols w:space="720" w:num="1"/>
        </w:sectPr>
      </w:pPr>
    </w:p>
    <w:p>
      <w:pPr>
        <w:spacing w:before="161" w:line="372" w:lineRule="auto"/>
        <w:ind w:left="34" w:right="8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2"/>
          <w:sz w:val="31"/>
          <w:szCs w:val="31"/>
        </w:rPr>
        <w:t>支出(项):支出决算数为</w:t>
      </w:r>
      <w:r>
        <w:rPr>
          <w:rFonts w:ascii="仿宋" w:hAnsi="仿宋" w:eastAsia="仿宋" w:cs="仿宋"/>
          <w:spacing w:val="-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202.45</w:t>
      </w:r>
      <w:r>
        <w:rPr>
          <w:rFonts w:ascii="仿宋" w:hAnsi="仿宋" w:eastAsia="仿宋" w:cs="仿宋"/>
          <w:spacing w:val="-1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万元，</w:t>
      </w:r>
      <w:r>
        <w:rPr>
          <w:rFonts w:ascii="仿宋" w:hAnsi="仿宋" w:eastAsia="仿宋" w:cs="仿宋"/>
          <w:spacing w:val="-5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2"/>
          <w:sz w:val="31"/>
          <w:szCs w:val="31"/>
        </w:rPr>
        <w:t>比上年决算减少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845.68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万元，下降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80.68%,主要原因是:本年度，单位根据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工作安排压减其他人大事务支出项目预算，一般公共服务支</w:t>
      </w:r>
      <w:r>
        <w:rPr>
          <w:rFonts w:ascii="仿宋" w:hAnsi="仿宋" w:eastAsia="仿宋" w:cs="仿宋"/>
          <w:spacing w:val="1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出(类)人大事务(款)其他人大事务支出(项)支出较上年下</w:t>
      </w:r>
    </w:p>
    <w:p>
      <w:pPr>
        <w:spacing w:before="1" w:line="223" w:lineRule="auto"/>
        <w:ind w:left="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3"/>
          <w:sz w:val="31"/>
          <w:szCs w:val="31"/>
        </w:rPr>
        <w:t>降。</w:t>
      </w:r>
    </w:p>
    <w:p>
      <w:pPr>
        <w:spacing w:before="248" w:line="221" w:lineRule="auto"/>
        <w:ind w:left="682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8.社会保障和就业支出(类)行政事业单位养</w:t>
      </w:r>
      <w:r>
        <w:rPr>
          <w:rFonts w:ascii="仿宋" w:hAnsi="仿宋" w:eastAsia="仿宋" w:cs="仿宋"/>
          <w:spacing w:val="7"/>
          <w:sz w:val="31"/>
          <w:szCs w:val="31"/>
        </w:rPr>
        <w:t>老支出(款)</w:t>
      </w:r>
    </w:p>
    <w:p>
      <w:pPr>
        <w:spacing w:before="250" w:line="372" w:lineRule="auto"/>
        <w:ind w:left="22" w:right="83" w:firstLine="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行政单位离退休(项):支出决算数为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881</w:t>
      </w:r>
      <w:r>
        <w:rPr>
          <w:rFonts w:ascii="仿宋" w:hAnsi="仿宋" w:eastAsia="仿宋" w:cs="仿宋"/>
          <w:spacing w:val="5"/>
          <w:sz w:val="31"/>
          <w:szCs w:val="31"/>
        </w:rPr>
        <w:t>.78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万元，比上年决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算增加</w:t>
      </w:r>
      <w:r>
        <w:rPr>
          <w:rFonts w:ascii="仿宋" w:hAnsi="仿宋" w:eastAsia="仿宋" w:cs="仿宋"/>
          <w:spacing w:val="-2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370.25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万元，增长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72.38%,主要原因是:本年度，调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增人员工资，离退休人员费用支出增加，社会保障和就业支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9"/>
          <w:sz w:val="31"/>
          <w:szCs w:val="31"/>
        </w:rPr>
        <w:t>出(类)行政事业单位养老支出(款)行政单位离退休(项)支</w:t>
      </w:r>
    </w:p>
    <w:p>
      <w:pPr>
        <w:spacing w:before="1" w:line="221" w:lineRule="auto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出较上年增长。</w:t>
      </w:r>
    </w:p>
    <w:p>
      <w:pPr>
        <w:spacing w:before="251" w:line="221" w:lineRule="auto"/>
        <w:ind w:left="682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9.社会保障和就业支出(类)行政事业单位养</w:t>
      </w:r>
      <w:r>
        <w:rPr>
          <w:rFonts w:ascii="仿宋" w:hAnsi="仿宋" w:eastAsia="仿宋" w:cs="仿宋"/>
          <w:spacing w:val="7"/>
          <w:sz w:val="31"/>
          <w:szCs w:val="31"/>
        </w:rPr>
        <w:t>老支出(款)</w:t>
      </w:r>
    </w:p>
    <w:p>
      <w:pPr>
        <w:spacing w:before="250" w:line="372" w:lineRule="auto"/>
        <w:ind w:left="31" w:hanging="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7"/>
          <w:sz w:val="31"/>
          <w:szCs w:val="31"/>
        </w:rPr>
        <w:t>机关事业单位基本养老保险缴费支出(项):支</w:t>
      </w:r>
      <w:r>
        <w:rPr>
          <w:rFonts w:ascii="仿宋" w:hAnsi="仿宋" w:eastAsia="仿宋" w:cs="仿宋"/>
          <w:spacing w:val="26"/>
          <w:sz w:val="31"/>
          <w:szCs w:val="31"/>
        </w:rPr>
        <w:t>出决算数为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362.70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比上年决算增加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42.78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13.</w:t>
      </w:r>
      <w:r>
        <w:rPr>
          <w:rFonts w:ascii="仿宋" w:hAnsi="仿宋" w:eastAsia="仿宋" w:cs="仿宋"/>
          <w:sz w:val="31"/>
          <w:szCs w:val="31"/>
        </w:rPr>
        <w:t xml:space="preserve">37%,主 </w:t>
      </w:r>
      <w:r>
        <w:rPr>
          <w:rFonts w:ascii="仿宋" w:hAnsi="仿宋" w:eastAsia="仿宋" w:cs="仿宋"/>
          <w:spacing w:val="5"/>
          <w:sz w:val="31"/>
          <w:szCs w:val="31"/>
        </w:rPr>
        <w:t>要原因是:本年度，调增人员工资，养老保险缴费支出增加，</w:t>
      </w:r>
      <w:r>
        <w:rPr>
          <w:rFonts w:ascii="仿宋" w:hAnsi="仿宋" w:eastAsia="仿宋" w:cs="仿宋"/>
          <w:spacing w:val="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社会保障和就业支出(类)行政事业单位养老</w:t>
      </w:r>
      <w:r>
        <w:rPr>
          <w:rFonts w:ascii="仿宋" w:hAnsi="仿宋" w:eastAsia="仿宋" w:cs="仿宋"/>
          <w:spacing w:val="19"/>
          <w:sz w:val="31"/>
          <w:szCs w:val="31"/>
        </w:rPr>
        <w:t>支出(款)机关</w:t>
      </w:r>
    </w:p>
    <w:p>
      <w:pPr>
        <w:spacing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事业单位基本养老保险缴费支出(项)支出较上年增长。</w:t>
      </w:r>
    </w:p>
    <w:p>
      <w:pPr>
        <w:spacing w:before="253" w:line="221" w:lineRule="auto"/>
        <w:ind w:left="687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10.卫生健康支出(类)行政事业单位医疗(款</w:t>
      </w:r>
      <w:r>
        <w:rPr>
          <w:rFonts w:ascii="仿宋" w:hAnsi="仿宋" w:eastAsia="仿宋" w:cs="仿宋"/>
          <w:spacing w:val="12"/>
          <w:sz w:val="31"/>
          <w:szCs w:val="31"/>
        </w:rPr>
        <w:t>)行政单位</w:t>
      </w:r>
    </w:p>
    <w:p>
      <w:pPr>
        <w:spacing w:before="251" w:line="372" w:lineRule="auto"/>
        <w:ind w:left="32" w:right="81" w:firstLine="30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医疗(项):支出决算数为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196.26</w:t>
      </w:r>
      <w:r>
        <w:rPr>
          <w:rFonts w:ascii="仿宋" w:hAnsi="仿宋" w:eastAsia="仿宋" w:cs="仿宋"/>
          <w:spacing w:val="-7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万元，比上年决算增</w:t>
      </w:r>
      <w:r>
        <w:rPr>
          <w:rFonts w:ascii="仿宋" w:hAnsi="仿宋" w:eastAsia="仿宋" w:cs="仿宋"/>
          <w:spacing w:val="-2"/>
          <w:sz w:val="31"/>
          <w:szCs w:val="31"/>
        </w:rPr>
        <w:t>加</w:t>
      </w:r>
      <w:r>
        <w:rPr>
          <w:rFonts w:ascii="仿宋" w:hAnsi="仿宋" w:eastAsia="仿宋" w:cs="仿宋"/>
          <w:spacing w:val="-8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23.94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13.89%,主要原因是:本</w:t>
      </w:r>
      <w:r>
        <w:rPr>
          <w:rFonts w:ascii="仿宋" w:hAnsi="仿宋" w:eastAsia="仿宋" w:cs="仿宋"/>
          <w:spacing w:val="3"/>
          <w:sz w:val="31"/>
          <w:szCs w:val="31"/>
        </w:rPr>
        <w:t>年度，调增人员工资，行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政单位医疗缴费支出增加，卫生健康支出(类)行政事业单位</w:t>
      </w:r>
    </w:p>
    <w:p>
      <w:pPr>
        <w:spacing w:line="221" w:lineRule="auto"/>
        <w:ind w:left="6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医疗(款)行政单位医疗(项)支出较上年增长。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4" w:type="default"/>
          <w:pgSz w:w="11906" w:h="16839"/>
          <w:pgMar w:top="1431" w:right="1718" w:bottom="1156" w:left="1785" w:header="0" w:footer="994" w:gutter="0"/>
          <w:cols w:space="720" w:num="1"/>
        </w:sectPr>
      </w:pPr>
    </w:p>
    <w:p>
      <w:pPr>
        <w:spacing w:before="164" w:line="221" w:lineRule="auto"/>
        <w:ind w:left="687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3"/>
          <w:sz w:val="31"/>
          <w:szCs w:val="31"/>
        </w:rPr>
        <w:t>11.卫生健康支出(类)行政事业单位医疗(款</w:t>
      </w:r>
      <w:r>
        <w:rPr>
          <w:rFonts w:ascii="仿宋" w:hAnsi="仿宋" w:eastAsia="仿宋" w:cs="仿宋"/>
          <w:spacing w:val="12"/>
          <w:sz w:val="31"/>
          <w:szCs w:val="31"/>
        </w:rPr>
        <w:t>)公务员医</w:t>
      </w:r>
    </w:p>
    <w:p>
      <w:pPr>
        <w:spacing w:before="250" w:line="372" w:lineRule="auto"/>
        <w:ind w:left="39" w:right="97" w:hanging="1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疗补助(项):支出决算数为</w:t>
      </w:r>
      <w:r>
        <w:rPr>
          <w:rFonts w:ascii="仿宋" w:hAnsi="仿宋" w:eastAsia="仿宋" w:cs="仿宋"/>
          <w:spacing w:val="-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152.65</w:t>
      </w:r>
      <w:r>
        <w:rPr>
          <w:rFonts w:ascii="仿宋" w:hAnsi="仿宋" w:eastAsia="仿宋" w:cs="仿宋"/>
          <w:spacing w:val="-3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万元，</w:t>
      </w:r>
      <w:r>
        <w:rPr>
          <w:rFonts w:ascii="仿宋" w:hAnsi="仿宋" w:eastAsia="仿宋" w:cs="仿宋"/>
          <w:spacing w:val="-6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比上年决算增加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18.62</w:t>
      </w:r>
      <w:r>
        <w:rPr>
          <w:rFonts w:ascii="仿宋" w:hAnsi="仿宋" w:eastAsia="仿宋" w:cs="仿宋"/>
          <w:spacing w:val="-2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13.89%,主要原因是:本年度，调增人员工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资，公务员医疗补助缴费支出增加，卫生健康支出(类)行政</w:t>
      </w:r>
    </w:p>
    <w:p>
      <w:pPr>
        <w:spacing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事业单位医疗(款)公务员医疗补助(项)支出较上年增长。</w:t>
      </w:r>
    </w:p>
    <w:p>
      <w:pPr>
        <w:spacing w:before="252" w:line="221" w:lineRule="auto"/>
        <w:ind w:left="687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5"/>
          <w:sz w:val="31"/>
          <w:szCs w:val="31"/>
        </w:rPr>
        <w:t>12.住房保障支出(类)住房改革支出(款)住房公积金</w:t>
      </w:r>
    </w:p>
    <w:p>
      <w:pPr>
        <w:spacing w:before="251" w:line="372" w:lineRule="auto"/>
        <w:ind w:left="25" w:right="96" w:firstLine="68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(项):支出决算数为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273.20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万元，比上年决算增加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32</w:t>
      </w:r>
      <w:r>
        <w:rPr>
          <w:rFonts w:ascii="仿宋" w:hAnsi="仿宋" w:eastAsia="仿宋" w:cs="仿宋"/>
          <w:sz w:val="31"/>
          <w:szCs w:val="31"/>
        </w:rPr>
        <w:t>.60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万 </w:t>
      </w:r>
      <w:r>
        <w:rPr>
          <w:rFonts w:ascii="仿宋" w:hAnsi="仿宋" w:eastAsia="仿宋" w:cs="仿宋"/>
          <w:spacing w:val="4"/>
          <w:sz w:val="31"/>
          <w:szCs w:val="31"/>
        </w:rPr>
        <w:t>元，增长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13.55%,主要原因是:本年度，调增人员工资</w:t>
      </w:r>
      <w:r>
        <w:rPr>
          <w:rFonts w:ascii="仿宋" w:hAnsi="仿宋" w:eastAsia="仿宋" w:cs="仿宋"/>
          <w:spacing w:val="3"/>
          <w:sz w:val="31"/>
          <w:szCs w:val="31"/>
        </w:rPr>
        <w:t>，住房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公积金缴费支出增加，住房保障支出(类)住房改革支出(款)</w:t>
      </w:r>
    </w:p>
    <w:p>
      <w:pPr>
        <w:spacing w:before="1" w:line="221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住房公积金(项)支出较上年增长。</w:t>
      </w:r>
    </w:p>
    <w:p>
      <w:pPr>
        <w:spacing w:before="251" w:line="221" w:lineRule="auto"/>
        <w:ind w:left="687"/>
        <w:outlineLvl w:val="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6"/>
          <w:sz w:val="31"/>
          <w:szCs w:val="31"/>
        </w:rPr>
        <w:t>13.社会保障和就业支出(类)行政事业单位养老支出</w:t>
      </w:r>
    </w:p>
    <w:p>
      <w:pPr>
        <w:spacing w:before="251" w:line="372" w:lineRule="auto"/>
        <w:ind w:left="29" w:right="97" w:firstLine="64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3"/>
          <w:sz w:val="31"/>
          <w:szCs w:val="31"/>
        </w:rPr>
        <w:t>(款)机关事业单位职业年金缴费支出(项):支出决算数为</w:t>
      </w:r>
      <w:r>
        <w:rPr>
          <w:rFonts w:ascii="仿宋" w:hAnsi="仿宋" w:eastAsia="仿宋" w:cs="仿宋"/>
          <w:spacing w:val="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0.00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比上年决算减少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46.49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万元，下降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100.00%,主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4"/>
          <w:sz w:val="31"/>
          <w:szCs w:val="31"/>
        </w:rPr>
        <w:t>要原因是:本年度，单位未编制职业年金预算，社会保障和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0"/>
          <w:sz w:val="31"/>
          <w:szCs w:val="31"/>
        </w:rPr>
        <w:t>就业支出(类)行政事业单位养老支出(款)机关事业</w:t>
      </w:r>
      <w:r>
        <w:rPr>
          <w:rFonts w:ascii="仿宋" w:hAnsi="仿宋" w:eastAsia="仿宋" w:cs="仿宋"/>
          <w:spacing w:val="19"/>
          <w:sz w:val="31"/>
          <w:szCs w:val="31"/>
        </w:rPr>
        <w:t>单位职</w:t>
      </w:r>
    </w:p>
    <w:p>
      <w:pPr>
        <w:spacing w:before="1"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业年金缴费支出(项)支出较上年下降。</w:t>
      </w:r>
    </w:p>
    <w:p>
      <w:pPr>
        <w:spacing w:before="251" w:line="226" w:lineRule="auto"/>
        <w:ind w:left="67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六、一般公共预算财政拨款基本支出决算情</w:t>
      </w:r>
      <w:r>
        <w:rPr>
          <w:rFonts w:ascii="黑体" w:hAnsi="黑体" w:eastAsia="黑体" w:cs="黑体"/>
          <w:spacing w:val="8"/>
          <w:sz w:val="31"/>
          <w:szCs w:val="31"/>
        </w:rPr>
        <w:t>况说明</w:t>
      </w:r>
    </w:p>
    <w:p>
      <w:pPr>
        <w:spacing w:before="245" w:line="624" w:lineRule="exact"/>
        <w:ind w:right="76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position w:val="23"/>
          <w:sz w:val="31"/>
          <w:szCs w:val="31"/>
        </w:rPr>
        <w:t>2022</w:t>
      </w:r>
      <w:r>
        <w:rPr>
          <w:rFonts w:ascii="仿宋" w:hAnsi="仿宋" w:eastAsia="仿宋" w:cs="仿宋"/>
          <w:spacing w:val="-55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年度一般公共预算财政拨款基本支出</w:t>
      </w:r>
      <w:r>
        <w:rPr>
          <w:rFonts w:ascii="仿宋" w:hAnsi="仿宋" w:eastAsia="仿宋" w:cs="仿宋"/>
          <w:spacing w:val="-43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6,853.70</w:t>
      </w:r>
      <w:r>
        <w:rPr>
          <w:rFonts w:ascii="仿宋" w:hAnsi="仿宋" w:eastAsia="仿宋" w:cs="仿宋"/>
          <w:spacing w:val="-42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万</w:t>
      </w:r>
    </w:p>
    <w:p>
      <w:pPr>
        <w:spacing w:before="1" w:line="222" w:lineRule="auto"/>
        <w:ind w:left="3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元，其中：</w:t>
      </w:r>
    </w:p>
    <w:p>
      <w:pPr>
        <w:spacing w:before="249" w:line="372" w:lineRule="auto"/>
        <w:ind w:left="46" w:firstLine="6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人员经费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5,614.28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万元，包括：基本工资、津贴补贴、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奖金、机关事业单位基本养老保险缴费、职工基本医疗保险</w:t>
      </w:r>
    </w:p>
    <w:p>
      <w:pPr>
        <w:spacing w:before="1" w:line="221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缴费、公务员医疗补助缴费、住房公积金、其他工资福利支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5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出、离休费、退休费、抚恤金、生活补助、医疗费补助、奖</w:t>
      </w:r>
    </w:p>
    <w:p>
      <w:pPr>
        <w:spacing w:before="1" w:line="221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励金、其他对个人和家庭的补助。</w:t>
      </w:r>
    </w:p>
    <w:p>
      <w:pPr>
        <w:spacing w:before="249" w:line="372" w:lineRule="auto"/>
        <w:ind w:left="25" w:firstLine="6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公用经费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1,239.42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万元，包括：办公费、水费、电费、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邮电费、取暖费、物业管理费、差旅费、维修（护）</w:t>
      </w:r>
      <w:r>
        <w:rPr>
          <w:rFonts w:ascii="仿宋" w:hAnsi="仿宋" w:eastAsia="仿宋" w:cs="仿宋"/>
          <w:spacing w:val="8"/>
          <w:sz w:val="31"/>
          <w:szCs w:val="31"/>
        </w:rPr>
        <w:t>费、租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赁费、培训费、公务接待费、劳务费、工会经费、福利费、</w:t>
      </w:r>
      <w:r>
        <w:rPr>
          <w:rFonts w:ascii="仿宋" w:hAnsi="仿宋" w:eastAsia="仿宋" w:cs="仿宋"/>
          <w:spacing w:val="1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公务用车运行维护费、其他交通费用、其他</w:t>
      </w:r>
      <w:r>
        <w:rPr>
          <w:rFonts w:ascii="仿宋" w:hAnsi="仿宋" w:eastAsia="仿宋" w:cs="仿宋"/>
          <w:sz w:val="31"/>
          <w:szCs w:val="31"/>
        </w:rPr>
        <w:t>商品和服务支出、</w:t>
      </w:r>
    </w:p>
    <w:p>
      <w:pPr>
        <w:spacing w:before="1" w:line="223" w:lineRule="auto"/>
        <w:ind w:left="40"/>
        <w:rPr>
          <w:rFonts w:ascii="仿宋" w:hAnsi="仿宋" w:eastAsia="仿宋" w:cs="仿宋"/>
          <w:sz w:val="31"/>
          <w:szCs w:val="31"/>
        </w:rPr>
      </w:pPr>
      <w:bookmarkStart w:id="9" w:name="bookmark11"/>
      <w:bookmarkEnd w:id="9"/>
      <w:r>
        <w:rPr>
          <w:rFonts w:ascii="仿宋" w:hAnsi="仿宋" w:eastAsia="仿宋" w:cs="仿宋"/>
          <w:spacing w:val="4"/>
          <w:sz w:val="31"/>
          <w:szCs w:val="31"/>
        </w:rPr>
        <w:t>办公设备购置。</w:t>
      </w:r>
    </w:p>
    <w:p>
      <w:pPr>
        <w:spacing w:before="247" w:line="226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七、财政拨款“三公”经费支出决算情况说明</w:t>
      </w:r>
    </w:p>
    <w:p>
      <w:pPr>
        <w:spacing w:before="238" w:line="372" w:lineRule="auto"/>
        <w:ind w:left="18" w:right="13" w:firstLine="66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3"/>
          <w:sz w:val="31"/>
          <w:szCs w:val="31"/>
        </w:rPr>
        <w:t>2022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年度财政拨款“</w:t>
      </w:r>
      <w:r>
        <w:rPr>
          <w:rFonts w:ascii="仿宋" w:hAnsi="仿宋" w:eastAsia="仿宋" w:cs="仿宋"/>
          <w:spacing w:val="-1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三公”经费支出决算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355.76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比上年减少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290.80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万元，下降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44.98%，主要原因是：本年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度，单位厉行节约，压减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“</w:t>
      </w:r>
      <w:r>
        <w:rPr>
          <w:rFonts w:ascii="Times New Roman" w:hAnsi="Times New Roman" w:eastAsia="Times New Roman" w:cs="Times New Roman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三公</w:t>
      </w:r>
      <w:r>
        <w:rPr>
          <w:rFonts w:ascii="Times New Roman" w:hAnsi="Times New Roman" w:eastAsia="Times New Roman" w:cs="Times New Roman"/>
          <w:spacing w:val="5"/>
          <w:sz w:val="31"/>
          <w:szCs w:val="31"/>
        </w:rPr>
        <w:t>”</w:t>
      </w:r>
      <w:r>
        <w:rPr>
          <w:rFonts w:ascii="Times New Roman" w:hAnsi="Times New Roman" w:eastAsia="Times New Roman" w:cs="Times New Roman"/>
          <w:spacing w:val="-5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经费支出。其中：</w:t>
      </w:r>
      <w:r>
        <w:rPr>
          <w:rFonts w:ascii="仿宋" w:hAnsi="仿宋" w:eastAsia="仿宋" w:cs="仿宋"/>
          <w:spacing w:val="-8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因公出国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（境）费支出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万元，占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0.00%，比上年增加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增长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0.00%，主要原因是：我单位无因公出国（境）费；公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务用车购置及运行维护费支出</w:t>
      </w:r>
      <w:r>
        <w:rPr>
          <w:rFonts w:ascii="仿宋" w:hAnsi="仿宋" w:eastAsia="仿宋" w:cs="仿宋"/>
          <w:spacing w:val="-2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352.54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占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99.09%，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比</w:t>
      </w:r>
      <w:r>
        <w:rPr>
          <w:rFonts w:ascii="仿宋" w:hAnsi="仿宋" w:eastAsia="仿宋" w:cs="仿宋"/>
          <w:sz w:val="31"/>
          <w:szCs w:val="31"/>
        </w:rPr>
        <w:t xml:space="preserve"> 上年减少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291.71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万元，下降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45.28%，主要原因是：本年度， </w:t>
      </w:r>
      <w:r>
        <w:rPr>
          <w:rFonts w:ascii="仿宋" w:hAnsi="仿宋" w:eastAsia="仿宋" w:cs="仿宋"/>
          <w:spacing w:val="9"/>
          <w:sz w:val="31"/>
          <w:szCs w:val="31"/>
        </w:rPr>
        <w:t>单位厉行节约，压减公务用车购置及运行维护费支出；公务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接待费支出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3.21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万元，</w:t>
      </w:r>
      <w:r>
        <w:rPr>
          <w:rFonts w:ascii="仿宋" w:hAnsi="仿宋" w:eastAsia="仿宋" w:cs="仿宋"/>
          <w:spacing w:val="-7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0.90%，</w:t>
      </w:r>
      <w:r>
        <w:rPr>
          <w:rFonts w:ascii="仿宋" w:hAnsi="仿宋" w:eastAsia="仿宋" w:cs="仿宋"/>
          <w:spacing w:val="-7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比上年增加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0.91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万元，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增长</w:t>
      </w:r>
      <w:r>
        <w:rPr>
          <w:rFonts w:ascii="仿宋" w:hAnsi="仿宋" w:eastAsia="仿宋" w:cs="仿宋"/>
          <w:spacing w:val="-3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39.57%，主要原因是：本年度，到我单位考察交流的人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员数量和次数较上年增加，公务接待费支出较上年增长。具</w:t>
      </w:r>
    </w:p>
    <w:p>
      <w:pPr>
        <w:spacing w:line="222" w:lineRule="auto"/>
        <w:ind w:left="1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体情况如下：</w:t>
      </w:r>
    </w:p>
    <w:p>
      <w:pPr>
        <w:spacing w:before="250" w:line="624" w:lineRule="exact"/>
        <w:ind w:left="70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因公出国（境）费支出</w:t>
      </w:r>
      <w:r>
        <w:rPr>
          <w:rFonts w:ascii="仿宋" w:hAnsi="仿宋" w:eastAsia="仿宋" w:cs="仿宋"/>
          <w:spacing w:val="-1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0.00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position w:val="23"/>
          <w:sz w:val="31"/>
          <w:szCs w:val="31"/>
        </w:rPr>
        <w:t>万元，开支内容包括我单</w:t>
      </w:r>
    </w:p>
    <w:p>
      <w:pPr>
        <w:spacing w:line="221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0"/>
          <w:sz w:val="31"/>
          <w:szCs w:val="31"/>
        </w:rPr>
        <w:t>位无因公出国（境）费。单位全年安排的因公出国（境）团</w:t>
      </w:r>
    </w:p>
    <w:p>
      <w:pPr>
        <w:spacing w:line="221" w:lineRule="auto"/>
        <w:rPr>
          <w:rFonts w:ascii="仿宋" w:hAnsi="仿宋" w:eastAsia="仿宋" w:cs="仿宋"/>
          <w:sz w:val="31"/>
          <w:szCs w:val="31"/>
        </w:rPr>
        <w:sectPr>
          <w:footerReference r:id="rId16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4" w:line="223" w:lineRule="auto"/>
        <w:ind w:left="3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2"/>
          <w:sz w:val="31"/>
          <w:szCs w:val="31"/>
        </w:rPr>
        <w:t>组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个，</w:t>
      </w:r>
      <w:r>
        <w:rPr>
          <w:rFonts w:ascii="仿宋" w:hAnsi="仿宋" w:eastAsia="仿宋" w:cs="仿宋"/>
          <w:spacing w:val="-8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因公出国（境）0</w:t>
      </w:r>
      <w:r>
        <w:rPr>
          <w:rFonts w:ascii="仿宋" w:hAnsi="仿宋" w:eastAsia="仿宋" w:cs="仿宋"/>
          <w:spacing w:val="-6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人次。</w:t>
      </w:r>
    </w:p>
    <w:p>
      <w:pPr>
        <w:spacing w:before="246" w:line="372" w:lineRule="auto"/>
        <w:ind w:left="20" w:right="83" w:firstLine="64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sz w:val="31"/>
          <w:szCs w:val="31"/>
        </w:rPr>
        <w:t>公务用车购置及运行维护费</w:t>
      </w:r>
      <w:r>
        <w:rPr>
          <w:rFonts w:ascii="仿宋" w:hAnsi="仿宋" w:eastAsia="仿宋" w:cs="仿宋"/>
          <w:spacing w:val="-3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352.54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sz w:val="31"/>
          <w:szCs w:val="31"/>
        </w:rPr>
        <w:t>万元，</w:t>
      </w:r>
      <w:r>
        <w:rPr>
          <w:rFonts w:ascii="仿宋" w:hAnsi="仿宋" w:eastAsia="仿宋" w:cs="仿宋"/>
          <w:spacing w:val="10"/>
          <w:sz w:val="31"/>
          <w:szCs w:val="31"/>
        </w:rPr>
        <w:t>其中：公务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用车购置费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0.00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万元，公务用车运行维护费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352.54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公务用车运行维护费开支内容包括车辆燃油费、保险费、维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修维护费、停车费以及路桥费。公务用车购置数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7"/>
          <w:sz w:val="31"/>
          <w:szCs w:val="31"/>
        </w:rPr>
        <w:t>辆，公务</w:t>
      </w:r>
    </w:p>
    <w:p>
      <w:pPr>
        <w:spacing w:before="1" w:line="219" w:lineRule="auto"/>
        <w:ind w:left="2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用车保有量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111</w:t>
      </w:r>
      <w:r>
        <w:rPr>
          <w:rFonts w:ascii="仿宋" w:hAnsi="仿宋" w:eastAsia="仿宋" w:cs="仿宋"/>
          <w:spacing w:val="-6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辆。</w:t>
      </w:r>
    </w:p>
    <w:p>
      <w:pPr>
        <w:spacing w:before="255" w:line="624" w:lineRule="exact"/>
        <w:ind w:right="84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公务接待费</w:t>
      </w:r>
      <w:r>
        <w:rPr>
          <w:rFonts w:ascii="仿宋" w:hAnsi="仿宋" w:eastAsia="仿宋" w:cs="仿宋"/>
          <w:spacing w:val="-27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3.21</w:t>
      </w:r>
      <w:r>
        <w:rPr>
          <w:rFonts w:ascii="仿宋" w:hAnsi="仿宋" w:eastAsia="仿宋" w:cs="仿宋"/>
          <w:spacing w:val="-38"/>
          <w:position w:val="2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1"/>
          <w:position w:val="23"/>
          <w:sz w:val="31"/>
          <w:szCs w:val="31"/>
        </w:rPr>
        <w:t>万元，开支内容包括公务人员餐饮等</w:t>
      </w:r>
    </w:p>
    <w:p>
      <w:pPr>
        <w:spacing w:line="221" w:lineRule="auto"/>
        <w:ind w:left="4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5"/>
          <w:sz w:val="31"/>
          <w:szCs w:val="31"/>
        </w:rPr>
        <w:t>费用。单位全年安排的国内公务接待</w:t>
      </w:r>
      <w:r>
        <w:rPr>
          <w:rFonts w:ascii="仿宋" w:hAnsi="仿宋" w:eastAsia="仿宋" w:cs="仿宋"/>
          <w:spacing w:val="-4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4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批次，80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人次。</w:t>
      </w:r>
    </w:p>
    <w:p>
      <w:pPr>
        <w:spacing w:before="245" w:line="372" w:lineRule="auto"/>
        <w:ind w:left="25" w:firstLine="659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与全年预算数相比情况：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“</w:t>
      </w:r>
      <w:r>
        <w:rPr>
          <w:rFonts w:ascii="仿宋" w:hAnsi="仿宋" w:eastAsia="仿宋" w:cs="仿宋"/>
          <w:spacing w:val="-12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三公”经费支出全年预</w:t>
      </w:r>
      <w:r>
        <w:rPr>
          <w:rFonts w:ascii="仿宋" w:hAnsi="仿宋" w:eastAsia="仿宋" w:cs="仿宋"/>
          <w:spacing w:val="3"/>
          <w:sz w:val="31"/>
          <w:szCs w:val="31"/>
        </w:rPr>
        <w:t>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472.60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355.76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3"/>
          <w:sz w:val="31"/>
          <w:szCs w:val="31"/>
        </w:rPr>
        <w:t>-24.72%，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主要原因是：本年度，单位厉行节约，精简高效，压减</w:t>
      </w:r>
      <w:r>
        <w:rPr>
          <w:rFonts w:ascii="仿宋" w:hAnsi="仿宋" w:eastAsia="仿宋" w:cs="仿宋"/>
          <w:spacing w:val="-9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公”经费支出。其中：</w:t>
      </w:r>
      <w:r>
        <w:rPr>
          <w:rFonts w:ascii="仿宋" w:hAnsi="仿宋" w:eastAsia="仿宋" w:cs="仿宋"/>
          <w:spacing w:val="-7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因公出国（境）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费全年预算数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0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0.00%，主要原因是：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我单位无因公出国（境）费；公务用车购置费全年预算数</w:t>
      </w:r>
      <w:r>
        <w:rPr>
          <w:rFonts w:ascii="仿宋" w:hAnsi="仿宋" w:eastAsia="仿宋" w:cs="仿宋"/>
          <w:spacing w:val="-3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7"/>
          <w:sz w:val="31"/>
          <w:szCs w:val="31"/>
        </w:rPr>
        <w:t>0.00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6"/>
          <w:sz w:val="31"/>
          <w:szCs w:val="31"/>
        </w:rPr>
        <w:t>0.00%，主要原因是：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我单位无公务用车购置费；</w:t>
      </w:r>
      <w:r>
        <w:rPr>
          <w:rFonts w:ascii="仿宋" w:hAnsi="仿宋" w:eastAsia="仿宋" w:cs="仿宋"/>
          <w:spacing w:val="-7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2"/>
          <w:sz w:val="31"/>
          <w:szCs w:val="31"/>
        </w:rPr>
        <w:t>公务用车运行费全年预算数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445.60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万元，决算数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352.54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万元，预决算差异率</w:t>
      </w:r>
      <w:r>
        <w:rPr>
          <w:rFonts w:ascii="仿宋" w:hAnsi="仿宋" w:eastAsia="仿宋" w:cs="仿宋"/>
          <w:spacing w:val="3"/>
          <w:sz w:val="31"/>
          <w:szCs w:val="31"/>
        </w:rPr>
        <w:t>-20.88%，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主要原因是：本年度，单位厉行节约，精简高效，压</w:t>
      </w:r>
      <w:r>
        <w:rPr>
          <w:rFonts w:ascii="仿宋" w:hAnsi="仿宋" w:eastAsia="仿宋" w:cs="仿宋"/>
          <w:spacing w:val="8"/>
          <w:sz w:val="31"/>
          <w:szCs w:val="31"/>
        </w:rPr>
        <w:t>减公务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用车运行费支出；公务接待费全年预算数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27.00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万元，决算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数</w:t>
      </w:r>
      <w:r>
        <w:rPr>
          <w:rFonts w:ascii="仿宋" w:hAnsi="仿宋" w:eastAsia="仿宋" w:cs="仿宋"/>
          <w:spacing w:val="-3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3.21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万元，预决算差异率-88.11%，主要原因</w:t>
      </w:r>
      <w:r>
        <w:rPr>
          <w:rFonts w:ascii="仿宋" w:hAnsi="仿宋" w:eastAsia="仿宋" w:cs="仿宋"/>
          <w:spacing w:val="-3"/>
          <w:sz w:val="31"/>
          <w:szCs w:val="31"/>
        </w:rPr>
        <w:t>是：本年度，</w:t>
      </w:r>
    </w:p>
    <w:p>
      <w:pPr>
        <w:spacing w:line="221" w:lineRule="auto"/>
        <w:ind w:left="34"/>
        <w:rPr>
          <w:rFonts w:ascii="仿宋" w:hAnsi="仿宋" w:eastAsia="仿宋" w:cs="仿宋"/>
          <w:sz w:val="31"/>
          <w:szCs w:val="31"/>
        </w:rPr>
      </w:pPr>
      <w:bookmarkStart w:id="10" w:name="bookmark13"/>
      <w:bookmarkEnd w:id="10"/>
      <w:bookmarkStart w:id="11" w:name="bookmark12"/>
      <w:bookmarkEnd w:id="11"/>
      <w:r>
        <w:rPr>
          <w:rFonts w:ascii="仿宋" w:hAnsi="仿宋" w:eastAsia="仿宋" w:cs="仿宋"/>
          <w:spacing w:val="8"/>
          <w:sz w:val="31"/>
          <w:szCs w:val="31"/>
        </w:rPr>
        <w:t>单位厉行节约，精简高效，压减公务接待费支出。</w:t>
      </w:r>
    </w:p>
    <w:p>
      <w:pPr>
        <w:spacing w:before="252" w:line="226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八、政府性基金预算财政拨款收入支出决算情况说明</w:t>
      </w:r>
    </w:p>
    <w:p>
      <w:pPr>
        <w:spacing w:line="226" w:lineRule="auto"/>
        <w:rPr>
          <w:rFonts w:ascii="黑体" w:hAnsi="黑体" w:eastAsia="黑体" w:cs="黑体"/>
          <w:sz w:val="31"/>
          <w:szCs w:val="31"/>
        </w:rPr>
        <w:sectPr>
          <w:footerReference r:id="rId17" w:type="default"/>
          <w:pgSz w:w="11906" w:h="16839"/>
          <w:pgMar w:top="1431" w:right="1718" w:bottom="1156" w:left="1785" w:header="0" w:footer="994" w:gutter="0"/>
          <w:cols w:space="720" w:num="1"/>
        </w:sectPr>
      </w:pPr>
    </w:p>
    <w:p>
      <w:pPr>
        <w:spacing w:before="162" w:line="372" w:lineRule="auto"/>
        <w:ind w:left="36" w:right="95" w:firstLine="648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我单位本年度无政府性基金预算财政拨款收入、支出及</w:t>
      </w:r>
      <w:r>
        <w:rPr>
          <w:rFonts w:ascii="仿宋" w:hAnsi="仿宋" w:eastAsia="仿宋" w:cs="仿宋"/>
          <w:spacing w:val="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结转和结余，政府性基金预算财政拨款收入支出决算表为空</w:t>
      </w:r>
    </w:p>
    <w:p>
      <w:pPr>
        <w:spacing w:before="1" w:line="224" w:lineRule="auto"/>
        <w:ind w:left="2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-1"/>
          <w:sz w:val="31"/>
          <w:szCs w:val="31"/>
        </w:rPr>
        <w:t>表。</w:t>
      </w:r>
    </w:p>
    <w:p>
      <w:pPr>
        <w:spacing w:before="245" w:line="226" w:lineRule="auto"/>
        <w:ind w:left="674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九、国有资本经营预算财政拨款收入支出决算情况说明</w:t>
      </w:r>
    </w:p>
    <w:p>
      <w:pPr>
        <w:spacing w:before="244" w:line="372" w:lineRule="auto"/>
        <w:ind w:left="22" w:right="97" w:firstLine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我单位本年度无国有资本经营预算财政拨款收入、支出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及结转和结余，国有资本经营预算财政拨款收入支出决算表</w:t>
      </w:r>
    </w:p>
    <w:p>
      <w:pPr>
        <w:spacing w:before="1" w:line="223" w:lineRule="auto"/>
        <w:ind w:left="3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"/>
          <w:sz w:val="31"/>
          <w:szCs w:val="31"/>
        </w:rPr>
        <w:t>为空表。</w:t>
      </w:r>
    </w:p>
    <w:p>
      <w:pPr>
        <w:spacing w:before="247" w:line="226" w:lineRule="auto"/>
        <w:ind w:left="67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十、其他重要事项的情况说明</w:t>
      </w:r>
    </w:p>
    <w:p>
      <w:pPr>
        <w:spacing w:before="244" w:line="227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（一）机关运行经费支出情况</w:t>
      </w:r>
    </w:p>
    <w:p>
      <w:pPr>
        <w:spacing w:before="244" w:line="372" w:lineRule="auto"/>
        <w:ind w:left="22" w:right="97" w:firstLine="662"/>
        <w:rPr>
          <w:rFonts w:ascii="仿宋" w:hAnsi="仿宋" w:eastAsia="仿宋" w:cs="仿宋"/>
          <w:spacing w:val="8"/>
          <w:sz w:val="31"/>
          <w:szCs w:val="31"/>
          <w:highlight w:val="red"/>
        </w:rPr>
      </w:pPr>
      <w:r>
        <w:rPr>
          <w:rFonts w:ascii="仿宋" w:hAnsi="仿宋" w:eastAsia="仿宋" w:cs="仿宋"/>
          <w:spacing w:val="8"/>
          <w:sz w:val="31"/>
          <w:szCs w:val="31"/>
        </w:rPr>
        <w:t>2022 年度新疆维吾尔自治区人民代表大会常务委员会办公厅(本级）（行政单位和参照公务员法管理事业单位） 机关运行经费支出 1,239.42 万元，比上年增加 236.76 万元， 增长 23.61%，主要原因是：</w:t>
      </w:r>
      <w:r>
        <w:rPr>
          <w:rFonts w:hint="eastAsia" w:ascii="仿宋" w:hAnsi="仿宋" w:eastAsia="仿宋" w:cs="仿宋"/>
          <w:spacing w:val="8"/>
          <w:sz w:val="31"/>
          <w:szCs w:val="31"/>
          <w:lang w:val="en-US" w:eastAsia="zh-CN"/>
        </w:rPr>
        <w:t>因疫情防控工作需要，增加了对防疫物资的储备。</w:t>
      </w:r>
      <w:bookmarkStart w:id="24" w:name="_GoBack"/>
      <w:bookmarkEnd w:id="24"/>
    </w:p>
    <w:p>
      <w:pPr>
        <w:spacing w:before="252" w:line="228" w:lineRule="auto"/>
        <w:ind w:left="69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5"/>
          <w:sz w:val="31"/>
          <w:szCs w:val="31"/>
        </w:rPr>
        <w:t>（二）政府采购情况</w:t>
      </w:r>
    </w:p>
    <w:p>
      <w:pPr>
        <w:spacing w:before="240" w:line="372" w:lineRule="auto"/>
        <w:ind w:left="26" w:firstLine="653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2022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年度政府采购支出总额</w:t>
      </w:r>
      <w:r>
        <w:rPr>
          <w:rFonts w:ascii="仿宋" w:hAnsi="仿宋" w:eastAsia="仿宋" w:cs="仿宋"/>
          <w:spacing w:val="-4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963.36</w:t>
      </w:r>
      <w:r>
        <w:rPr>
          <w:rFonts w:ascii="仿宋" w:hAnsi="仿宋" w:eastAsia="仿宋" w:cs="仿宋"/>
          <w:spacing w:val="-4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万元，其中：政府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采购货物支出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434.67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万元、政府采购</w:t>
      </w:r>
      <w:r>
        <w:rPr>
          <w:rFonts w:ascii="仿宋" w:hAnsi="仿宋" w:eastAsia="仿宋" w:cs="仿宋"/>
          <w:spacing w:val="1"/>
          <w:sz w:val="31"/>
          <w:szCs w:val="31"/>
        </w:rPr>
        <w:t>工程支出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51.92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万元、</w:t>
      </w:r>
    </w:p>
    <w:p>
      <w:pPr>
        <w:spacing w:before="1" w:line="222" w:lineRule="auto"/>
        <w:ind w:left="3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3"/>
          <w:sz w:val="31"/>
          <w:szCs w:val="31"/>
        </w:rPr>
        <w:t>政府采购服务支出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476.77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万元。</w:t>
      </w:r>
    </w:p>
    <w:p>
      <w:pPr>
        <w:spacing w:before="249" w:line="372" w:lineRule="auto"/>
        <w:ind w:left="47" w:right="13" w:firstLine="617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授予中小企业合同金额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919.10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</w:t>
      </w:r>
      <w:r>
        <w:rPr>
          <w:rFonts w:ascii="仿宋" w:hAnsi="仿宋" w:eastAsia="仿宋" w:cs="仿宋"/>
          <w:spacing w:val="-7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占政府采购</w:t>
      </w:r>
      <w:r>
        <w:rPr>
          <w:rFonts w:ascii="仿宋" w:hAnsi="仿宋" w:eastAsia="仿宋" w:cs="仿宋"/>
          <w:spacing w:val="7"/>
          <w:sz w:val="31"/>
          <w:szCs w:val="31"/>
        </w:rPr>
        <w:t>支出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总额的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95.41%，其中：授予小微企业合同金额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148.</w:t>
      </w:r>
      <w:r>
        <w:rPr>
          <w:rFonts w:ascii="仿宋" w:hAnsi="仿宋" w:eastAsia="仿宋" w:cs="仿宋"/>
          <w:spacing w:val="-2"/>
          <w:sz w:val="31"/>
          <w:szCs w:val="31"/>
        </w:rPr>
        <w:t>19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万元，</w:t>
      </w:r>
    </w:p>
    <w:p>
      <w:pPr>
        <w:spacing w:before="1" w:line="222" w:lineRule="auto"/>
        <w:ind w:left="77"/>
        <w:rPr>
          <w:rFonts w:ascii="仿宋" w:hAnsi="仿宋" w:eastAsia="仿宋" w:cs="仿宋"/>
          <w:sz w:val="31"/>
          <w:szCs w:val="31"/>
        </w:rPr>
      </w:pPr>
      <w:bookmarkStart w:id="12" w:name="bookmark14"/>
      <w:bookmarkEnd w:id="12"/>
      <w:r>
        <w:rPr>
          <w:rFonts w:ascii="仿宋" w:hAnsi="仿宋" w:eastAsia="仿宋" w:cs="仿宋"/>
          <w:spacing w:val="1"/>
          <w:sz w:val="31"/>
          <w:szCs w:val="31"/>
        </w:rPr>
        <w:t>占政府采购支出总额的</w:t>
      </w:r>
      <w:r>
        <w:rPr>
          <w:rFonts w:ascii="仿宋" w:hAnsi="仿宋" w:eastAsia="仿宋" w:cs="仿宋"/>
          <w:spacing w:val="-2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15.38%。</w:t>
      </w:r>
    </w:p>
    <w:p>
      <w:pPr>
        <w:spacing w:before="250" w:line="226" w:lineRule="auto"/>
        <w:ind w:left="692"/>
        <w:outlineLvl w:val="2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6"/>
          <w:sz w:val="31"/>
          <w:szCs w:val="31"/>
        </w:rPr>
        <w:t>（三）国有资产占用情况说明</w:t>
      </w:r>
    </w:p>
    <w:p>
      <w:pPr>
        <w:spacing w:before="159" w:line="372" w:lineRule="auto"/>
        <w:ind w:right="69"/>
        <w:rPr>
          <w:rFonts w:ascii="仿宋" w:hAnsi="仿宋" w:eastAsia="仿宋" w:cs="仿宋"/>
          <w:sz w:val="31"/>
          <w:szCs w:val="31"/>
        </w:rPr>
      </w:pPr>
      <w:r>
        <w:rPr>
          <w:rFonts w:hint="eastAsia" w:ascii="仿宋" w:hAnsi="仿宋" w:eastAsia="仿宋" w:cs="仿宋"/>
          <w:spacing w:val="-2"/>
          <w:sz w:val="31"/>
          <w:szCs w:val="31"/>
          <w:lang w:val="en-US" w:eastAsia="zh-CN"/>
        </w:rPr>
        <w:t xml:space="preserve">    </w:t>
      </w:r>
      <w:r>
        <w:rPr>
          <w:rFonts w:ascii="仿宋" w:hAnsi="仿宋" w:eastAsia="仿宋" w:cs="仿宋"/>
          <w:spacing w:val="-2"/>
          <w:sz w:val="31"/>
          <w:szCs w:val="31"/>
        </w:rPr>
        <w:t>截止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2022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年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12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月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31 日，</w:t>
      </w:r>
      <w:r>
        <w:rPr>
          <w:rFonts w:ascii="仿宋" w:hAnsi="仿宋" w:eastAsia="仿宋" w:cs="仿宋"/>
          <w:spacing w:val="-9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固定资产原值</w:t>
      </w:r>
      <w:r>
        <w:rPr>
          <w:rFonts w:ascii="仿宋" w:hAnsi="仿宋" w:eastAsia="仿宋" w:cs="仿宋"/>
          <w:spacing w:val="-3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2"/>
          <w:sz w:val="31"/>
          <w:szCs w:val="31"/>
        </w:rPr>
        <w:t>18,779.</w:t>
      </w:r>
      <w:r>
        <w:rPr>
          <w:rFonts w:ascii="仿宋" w:hAnsi="仿宋" w:eastAsia="仿宋" w:cs="仿宋"/>
          <w:spacing w:val="-3"/>
          <w:sz w:val="31"/>
          <w:szCs w:val="31"/>
        </w:rPr>
        <w:t>76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3"/>
          <w:sz w:val="31"/>
          <w:szCs w:val="31"/>
        </w:rPr>
        <w:t>万</w:t>
      </w:r>
      <w:r>
        <w:rPr>
          <w:rFonts w:ascii="仿宋" w:hAnsi="仿宋" w:eastAsia="仿宋" w:cs="仿宋"/>
          <w:sz w:val="31"/>
          <w:szCs w:val="31"/>
        </w:rPr>
        <w:t xml:space="preserve"> 元，房屋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56,802.33</w:t>
      </w:r>
      <w:r>
        <w:rPr>
          <w:rFonts w:ascii="仿宋" w:hAnsi="仿宋" w:eastAsia="仿宋" w:cs="仿宋"/>
          <w:spacing w:val="-57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平方米，价值</w:t>
      </w:r>
      <w:r>
        <w:rPr>
          <w:rFonts w:ascii="仿宋" w:hAnsi="仿宋" w:eastAsia="仿宋" w:cs="仿宋"/>
          <w:spacing w:val="-46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7,069.61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万元。车辆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 xml:space="preserve">111 </w:t>
      </w:r>
      <w:r>
        <w:rPr>
          <w:rFonts w:ascii="仿宋" w:hAnsi="仿宋" w:eastAsia="仿宋" w:cs="仿宋"/>
          <w:spacing w:val="8"/>
          <w:sz w:val="31"/>
          <w:szCs w:val="31"/>
        </w:rPr>
        <w:t>辆，价值</w:t>
      </w:r>
      <w:r>
        <w:rPr>
          <w:rFonts w:ascii="仿宋" w:hAnsi="仿宋" w:eastAsia="仿宋" w:cs="仿宋"/>
          <w:spacing w:val="-2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3,979.79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万元，其中：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副部（省）级及以上领导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用车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38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辆、主要领导干部用车</w:t>
      </w:r>
      <w:r>
        <w:rPr>
          <w:rFonts w:ascii="仿宋" w:hAnsi="仿宋" w:eastAsia="仿宋" w:cs="仿宋"/>
          <w:spacing w:val="-3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35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辆、机</w:t>
      </w:r>
      <w:r>
        <w:rPr>
          <w:rFonts w:ascii="仿宋" w:hAnsi="仿宋" w:eastAsia="仿宋" w:cs="仿宋"/>
          <w:spacing w:val="2"/>
          <w:sz w:val="31"/>
          <w:szCs w:val="31"/>
        </w:rPr>
        <w:t>要通信用车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1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辆、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应急保障用车</w:t>
      </w:r>
      <w:r>
        <w:rPr>
          <w:rFonts w:ascii="仿宋" w:hAnsi="仿宋" w:eastAsia="仿宋" w:cs="仿宋"/>
          <w:spacing w:val="-4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辆、执法执勤用车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0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5"/>
          <w:sz w:val="31"/>
          <w:szCs w:val="31"/>
        </w:rPr>
        <w:t>辆、特种专业技术用车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0</w:t>
      </w:r>
      <w:r>
        <w:rPr>
          <w:rFonts w:ascii="仿宋" w:hAnsi="仿宋" w:eastAsia="仿宋" w:cs="仿宋"/>
          <w:spacing w:val="-44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辆、离退休干部用车</w:t>
      </w:r>
      <w:r>
        <w:rPr>
          <w:rFonts w:ascii="仿宋" w:hAnsi="仿宋" w:eastAsia="仿宋" w:cs="仿宋"/>
          <w:spacing w:val="-4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2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辆、其他用车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35</w:t>
      </w:r>
      <w:r>
        <w:rPr>
          <w:rFonts w:ascii="仿宋" w:hAnsi="仿宋" w:eastAsia="仿宋" w:cs="仿宋"/>
          <w:spacing w:val="-6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"/>
          <w:sz w:val="31"/>
          <w:szCs w:val="31"/>
        </w:rPr>
        <w:t>辆，其他用车主要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是：单位日常公务用车；单价</w:t>
      </w:r>
      <w:r>
        <w:rPr>
          <w:rFonts w:ascii="仿宋" w:hAnsi="仿宋" w:eastAsia="仿宋" w:cs="仿宋"/>
          <w:spacing w:val="-4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100</w:t>
      </w:r>
      <w:r>
        <w:rPr>
          <w:rFonts w:ascii="仿宋" w:hAnsi="仿宋" w:eastAsia="仿宋" w:cs="仿宋"/>
          <w:spacing w:val="-4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万元（含）</w:t>
      </w:r>
      <w:r>
        <w:rPr>
          <w:rFonts w:ascii="仿宋" w:hAnsi="仿宋" w:eastAsia="仿宋" w:cs="仿宋"/>
          <w:spacing w:val="-8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以上设备（不</w:t>
      </w:r>
    </w:p>
    <w:p>
      <w:pPr>
        <w:spacing w:before="1" w:line="219" w:lineRule="auto"/>
        <w:ind w:left="21"/>
        <w:rPr>
          <w:rFonts w:ascii="仿宋" w:hAnsi="仿宋" w:eastAsia="仿宋" w:cs="仿宋"/>
          <w:sz w:val="31"/>
          <w:szCs w:val="31"/>
        </w:rPr>
      </w:pPr>
      <w:bookmarkStart w:id="13" w:name="bookmark15"/>
      <w:bookmarkEnd w:id="13"/>
      <w:r>
        <w:rPr>
          <w:rFonts w:ascii="仿宋" w:hAnsi="仿宋" w:eastAsia="仿宋" w:cs="仿宋"/>
          <w:spacing w:val="-1"/>
          <w:sz w:val="31"/>
          <w:szCs w:val="31"/>
        </w:rPr>
        <w:t>含车辆）5 台（套）。</w:t>
      </w:r>
    </w:p>
    <w:p>
      <w:pPr>
        <w:spacing w:before="254" w:line="226" w:lineRule="auto"/>
        <w:ind w:left="671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十一、预算绩效的情况说明</w:t>
      </w:r>
    </w:p>
    <w:p>
      <w:pPr>
        <w:spacing w:before="237" w:line="372" w:lineRule="auto"/>
        <w:ind w:left="26" w:firstLine="636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12"/>
          <w:sz w:val="31"/>
          <w:szCs w:val="31"/>
        </w:rPr>
        <w:t>根据预算绩效管理要求，我单位</w:t>
      </w:r>
      <w:r>
        <w:rPr>
          <w:rFonts w:ascii="仿宋" w:hAnsi="仿宋" w:eastAsia="仿宋" w:cs="仿宋"/>
          <w:spacing w:val="-3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2022</w:t>
      </w:r>
      <w:r>
        <w:rPr>
          <w:rFonts w:ascii="仿宋" w:hAnsi="仿宋" w:eastAsia="仿宋" w:cs="仿宋"/>
          <w:spacing w:val="-5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12"/>
          <w:sz w:val="31"/>
          <w:szCs w:val="31"/>
        </w:rPr>
        <w:t>年度开展预算绩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效评价项目</w:t>
      </w:r>
      <w:r>
        <w:rPr>
          <w:rFonts w:ascii="仿宋" w:hAnsi="仿宋" w:eastAsia="仿宋" w:cs="仿宋"/>
          <w:spacing w:val="-3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9</w:t>
      </w:r>
      <w:r>
        <w:rPr>
          <w:rFonts w:ascii="仿宋" w:hAnsi="仿宋" w:eastAsia="仿宋" w:cs="仿宋"/>
          <w:spacing w:val="-52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个，全年预算数</w:t>
      </w:r>
      <w:r>
        <w:rPr>
          <w:rFonts w:ascii="仿宋" w:hAnsi="仿宋" w:eastAsia="仿宋" w:cs="仿宋"/>
          <w:spacing w:val="-29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3,628.00</w:t>
      </w:r>
      <w:r>
        <w:rPr>
          <w:rFonts w:ascii="仿宋" w:hAnsi="仿宋" w:eastAsia="仿宋" w:cs="仿宋"/>
          <w:spacing w:val="-3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8"/>
          <w:sz w:val="31"/>
          <w:szCs w:val="31"/>
        </w:rPr>
        <w:t>万元，全年执行数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3,211.19</w:t>
      </w:r>
      <w:r>
        <w:rPr>
          <w:rFonts w:ascii="仿宋" w:hAnsi="仿宋" w:eastAsia="仿宋" w:cs="仿宋"/>
          <w:spacing w:val="-45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4"/>
          <w:sz w:val="31"/>
          <w:szCs w:val="31"/>
        </w:rPr>
        <w:t>万元。预算绩效管理取得的成效：一是加强制度建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设，打牢绩效管理工作基础。二是开展绩效评价，</w:t>
      </w:r>
      <w:r>
        <w:rPr>
          <w:rFonts w:ascii="仿宋" w:hAnsi="仿宋" w:eastAsia="仿宋" w:cs="仿宋"/>
          <w:spacing w:val="8"/>
          <w:sz w:val="31"/>
          <w:szCs w:val="31"/>
        </w:rPr>
        <w:t>提高绩效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工作管理水平。三是绩效管理制度进一步完善，提</w:t>
      </w:r>
      <w:r>
        <w:rPr>
          <w:rFonts w:ascii="仿宋" w:hAnsi="仿宋" w:eastAsia="仿宋" w:cs="仿宋"/>
          <w:spacing w:val="8"/>
          <w:sz w:val="31"/>
          <w:szCs w:val="31"/>
        </w:rPr>
        <w:t>高了财政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-1"/>
          <w:sz w:val="31"/>
          <w:szCs w:val="31"/>
        </w:rPr>
        <w:t>资金使用效益，保障部门更好履行职责。发现的问题及原因：</w:t>
      </w:r>
      <w:r>
        <w:rPr>
          <w:rFonts w:ascii="仿宋" w:hAnsi="仿宋" w:eastAsia="仿宋" w:cs="仿宋"/>
          <w:spacing w:val="18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一是全过程预算绩效管理制度体系不健全。二是预</w:t>
      </w:r>
      <w:r>
        <w:rPr>
          <w:rFonts w:ascii="仿宋" w:hAnsi="仿宋" w:eastAsia="仿宋" w:cs="仿宋"/>
          <w:spacing w:val="8"/>
          <w:sz w:val="31"/>
          <w:szCs w:val="31"/>
        </w:rPr>
        <w:t>算单位财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会人员的综合能力还未达到绩效目标编制工作的需</w:t>
      </w:r>
      <w:r>
        <w:rPr>
          <w:rFonts w:ascii="仿宋" w:hAnsi="仿宋" w:eastAsia="仿宋" w:cs="仿宋"/>
          <w:spacing w:val="8"/>
          <w:sz w:val="31"/>
          <w:szCs w:val="31"/>
        </w:rPr>
        <w:t>求，绩效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管理专业人员匮乏，规范管理有盲点。三是绩效执</w:t>
      </w:r>
      <w:r>
        <w:rPr>
          <w:rFonts w:ascii="仿宋" w:hAnsi="仿宋" w:eastAsia="仿宋" w:cs="仿宋"/>
          <w:spacing w:val="8"/>
          <w:sz w:val="31"/>
          <w:szCs w:val="31"/>
        </w:rPr>
        <w:t>行中，部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门工作以及数据协同问题突出。数据和信息的沟通存在</w:t>
      </w:r>
      <w:r>
        <w:rPr>
          <w:rFonts w:ascii="仿宋" w:hAnsi="仿宋" w:eastAsia="仿宋" w:cs="仿宋"/>
          <w:spacing w:val="8"/>
          <w:sz w:val="31"/>
          <w:szCs w:val="31"/>
        </w:rPr>
        <w:t>比较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大的差异，影响了绩效结果的评估。下一步改进措</w:t>
      </w:r>
      <w:r>
        <w:rPr>
          <w:rFonts w:ascii="仿宋" w:hAnsi="仿宋" w:eastAsia="仿宋" w:cs="仿宋"/>
          <w:spacing w:val="8"/>
          <w:sz w:val="31"/>
          <w:szCs w:val="31"/>
        </w:rPr>
        <w:t>施：一是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加强宣传引导，强化绩效观念。让主要领导及时掌握预</w:t>
      </w:r>
      <w:r>
        <w:rPr>
          <w:rFonts w:ascii="仿宋" w:hAnsi="仿宋" w:eastAsia="仿宋" w:cs="仿宋"/>
          <w:spacing w:val="8"/>
          <w:sz w:val="31"/>
          <w:szCs w:val="31"/>
        </w:rPr>
        <w:t>算绩</w:t>
      </w:r>
    </w:p>
    <w:p>
      <w:pPr>
        <w:spacing w:before="1" w:line="219" w:lineRule="auto"/>
        <w:ind w:left="35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效管理的推进情况、实际效果和存在的问题，</w:t>
      </w:r>
      <w:r>
        <w:rPr>
          <w:rFonts w:ascii="仿宋" w:hAnsi="仿宋" w:eastAsia="仿宋" w:cs="仿宋"/>
          <w:spacing w:val="-8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6"/>
          <w:sz w:val="31"/>
          <w:szCs w:val="31"/>
        </w:rPr>
        <w:t>以利于及时作</w:t>
      </w:r>
    </w:p>
    <w:p>
      <w:pPr>
        <w:spacing w:line="219" w:lineRule="auto"/>
        <w:rPr>
          <w:rFonts w:ascii="仿宋" w:hAnsi="仿宋" w:eastAsia="仿宋" w:cs="仿宋"/>
          <w:sz w:val="31"/>
          <w:szCs w:val="31"/>
        </w:rPr>
        <w:sectPr>
          <w:footerReference r:id="rId18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2" w:line="372" w:lineRule="auto"/>
        <w:ind w:left="36" w:firstLine="31"/>
        <w:jc w:val="both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出决策，支持并帮助解决工作中出现的困难和问题。二是加</w:t>
      </w:r>
      <w:r>
        <w:rPr>
          <w:rFonts w:ascii="仿宋" w:hAnsi="仿宋" w:eastAsia="仿宋" w:cs="仿宋"/>
          <w:spacing w:val="4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6"/>
          <w:sz w:val="31"/>
          <w:szCs w:val="31"/>
        </w:rPr>
        <w:t>强队伍建设，通过多种形式开展业务培训加强预算绩效管理  专业人才队伍建设，促进对绩效管理专业知</w:t>
      </w:r>
      <w:r>
        <w:rPr>
          <w:rFonts w:ascii="仿宋" w:hAnsi="仿宋" w:eastAsia="仿宋" w:cs="仿宋"/>
          <w:spacing w:val="5"/>
          <w:sz w:val="31"/>
          <w:szCs w:val="31"/>
        </w:rPr>
        <w:t>识学习的积极性，</w:t>
      </w:r>
    </w:p>
    <w:p>
      <w:pPr>
        <w:spacing w:line="220" w:lineRule="auto"/>
        <w:ind w:left="34"/>
        <w:rPr>
          <w:rFonts w:ascii="仿宋" w:hAnsi="仿宋" w:eastAsia="仿宋" w:cs="仿宋"/>
          <w:sz w:val="31"/>
          <w:szCs w:val="31"/>
        </w:rPr>
      </w:pPr>
      <w:bookmarkStart w:id="14" w:name="bookmark16"/>
      <w:bookmarkEnd w:id="14"/>
      <w:r>
        <w:rPr>
          <w:rFonts w:ascii="仿宋" w:hAnsi="仿宋" w:eastAsia="仿宋" w:cs="仿宋"/>
          <w:spacing w:val="8"/>
          <w:sz w:val="31"/>
          <w:szCs w:val="31"/>
        </w:rPr>
        <w:t>从而提高绩效管理工作能力。具体项目自评情况见附件。</w:t>
      </w:r>
    </w:p>
    <w:p>
      <w:pPr>
        <w:spacing w:line="220" w:lineRule="auto"/>
        <w:rPr>
          <w:rFonts w:ascii="仿宋" w:hAnsi="仿宋" w:eastAsia="仿宋" w:cs="仿宋"/>
          <w:sz w:val="31"/>
          <w:szCs w:val="31"/>
        </w:rPr>
        <w:sectPr>
          <w:footerReference r:id="rId19" w:type="default"/>
          <w:pgSz w:w="11906" w:h="16839"/>
          <w:pgMar w:top="1431" w:right="1557" w:bottom="1156" w:left="1785" w:header="0" w:footer="994" w:gutter="0"/>
          <w:cols w:space="720" w:num="1"/>
        </w:sectPr>
      </w:pPr>
    </w:p>
    <w:p>
      <w:pPr>
        <w:spacing w:before="162" w:line="227" w:lineRule="auto"/>
        <w:ind w:left="2820"/>
        <w:outlineLvl w:val="0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第三部分 专业名词解释</w:t>
      </w:r>
    </w:p>
    <w:p>
      <w:pPr>
        <w:spacing w:before="244" w:line="222" w:lineRule="auto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财政拨款收入：指同级财政当年拨付的资金。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上级补助收入：指事业单位从主管部门和上级单位取得</w:t>
      </w:r>
    </w:p>
    <w:p>
      <w:pPr>
        <w:spacing w:before="1" w:line="221" w:lineRule="auto"/>
        <w:ind w:left="5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4"/>
          <w:sz w:val="31"/>
          <w:szCs w:val="31"/>
        </w:rPr>
        <w:t>的非财政补助收入。</w:t>
      </w:r>
    </w:p>
    <w:p>
      <w:pPr>
        <w:spacing w:before="252" w:line="624" w:lineRule="exact"/>
        <w:ind w:left="67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事业收入：指事业单位开展专业业务活动及其辅助活动</w:t>
      </w:r>
    </w:p>
    <w:p>
      <w:pPr>
        <w:spacing w:line="222" w:lineRule="auto"/>
        <w:ind w:left="2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所取得的收入。</w:t>
      </w:r>
    </w:p>
    <w:p>
      <w:pPr>
        <w:spacing w:before="251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经营收入：指事业单位在专业业务活动及其辅助活动之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外开展非独立核算经营活动取得的收入。</w:t>
      </w:r>
    </w:p>
    <w:p>
      <w:pPr>
        <w:spacing w:before="252" w:line="624" w:lineRule="exact"/>
        <w:ind w:left="69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附属单位上缴收入：指事业单位附属的独立核</w:t>
      </w:r>
      <w:r>
        <w:rPr>
          <w:rFonts w:ascii="仿宋" w:hAnsi="仿宋" w:eastAsia="仿宋" w:cs="仿宋"/>
          <w:spacing w:val="7"/>
          <w:position w:val="23"/>
          <w:sz w:val="31"/>
          <w:szCs w:val="31"/>
        </w:rPr>
        <w:t>算单位按</w:t>
      </w:r>
    </w:p>
    <w:p>
      <w:pPr>
        <w:spacing w:before="1" w:line="222" w:lineRule="auto"/>
        <w:ind w:left="3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有关规定上缴的收入。</w:t>
      </w:r>
    </w:p>
    <w:p>
      <w:pPr>
        <w:spacing w:before="250" w:line="624" w:lineRule="exact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position w:val="23"/>
          <w:sz w:val="31"/>
          <w:szCs w:val="31"/>
        </w:rPr>
        <w:t>其他收入：指除上述“财政拨款收入”、“事业收</w:t>
      </w:r>
      <w:r>
        <w:rPr>
          <w:rFonts w:ascii="仿宋" w:hAnsi="仿宋" w:eastAsia="仿宋" w:cs="仿宋"/>
          <w:spacing w:val="-1"/>
          <w:position w:val="23"/>
          <w:sz w:val="31"/>
          <w:szCs w:val="31"/>
        </w:rPr>
        <w:t>入”、</w:t>
      </w:r>
    </w:p>
    <w:p>
      <w:pPr>
        <w:spacing w:line="221" w:lineRule="auto"/>
        <w:ind w:left="5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“经营收入”</w:t>
      </w:r>
      <w:r>
        <w:rPr>
          <w:rFonts w:ascii="仿宋" w:hAnsi="仿宋" w:eastAsia="仿宋" w:cs="仿宋"/>
          <w:spacing w:val="-100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、</w:t>
      </w:r>
      <w:r>
        <w:rPr>
          <w:rFonts w:ascii="仿宋" w:hAnsi="仿宋" w:eastAsia="仿宋" w:cs="仿宋"/>
          <w:spacing w:val="-91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“</w:t>
      </w:r>
      <w:r>
        <w:rPr>
          <w:rFonts w:ascii="仿宋" w:hAnsi="仿宋" w:eastAsia="仿宋" w:cs="仿宋"/>
          <w:spacing w:val="-117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2"/>
          <w:sz w:val="31"/>
          <w:szCs w:val="31"/>
        </w:rPr>
        <w:t>附属单位上缴收入”等之外取得的收入。</w:t>
      </w:r>
    </w:p>
    <w:p>
      <w:pPr>
        <w:spacing w:before="251" w:line="372" w:lineRule="auto"/>
        <w:ind w:left="16" w:right="97" w:firstLine="65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年初结转和结余：指以前年度支出预算因客观条件变化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未执行完毕、结转到本年度按有关规定继续使用的资金，既</w:t>
      </w:r>
      <w:r>
        <w:rPr>
          <w:rFonts w:ascii="仿宋" w:hAnsi="仿宋" w:eastAsia="仿宋" w:cs="仿宋"/>
          <w:spacing w:val="6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包括财政拨款结转和结余，也包括事业收入、经营收入、其</w:t>
      </w:r>
    </w:p>
    <w:p>
      <w:pPr>
        <w:spacing w:before="1" w:line="218" w:lineRule="auto"/>
        <w:ind w:left="2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他收入的结转和结余。</w:t>
      </w:r>
    </w:p>
    <w:p>
      <w:pPr>
        <w:spacing w:before="255" w:line="372" w:lineRule="auto"/>
        <w:ind w:left="27" w:right="97" w:firstLine="64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sz w:val="31"/>
          <w:szCs w:val="31"/>
        </w:rPr>
        <w:t>年末结转和结余：指本年度或以前年度预算安排、因客</w:t>
      </w:r>
      <w:r>
        <w:rPr>
          <w:rFonts w:ascii="仿宋" w:hAnsi="仿宋" w:eastAsia="仿宋" w:cs="仿宋"/>
          <w:spacing w:val="13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观条件发生变化无法按原计划实施，需要延迟</w:t>
      </w:r>
      <w:r>
        <w:rPr>
          <w:rFonts w:ascii="仿宋" w:hAnsi="仿宋" w:eastAsia="仿宋" w:cs="仿宋"/>
          <w:spacing w:val="8"/>
          <w:sz w:val="31"/>
          <w:szCs w:val="31"/>
        </w:rPr>
        <w:t>到以后年度按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有关规定继续使用的资金，既包括财政拨款结转</w:t>
      </w:r>
      <w:r>
        <w:rPr>
          <w:rFonts w:ascii="仿宋" w:hAnsi="仿宋" w:eastAsia="仿宋" w:cs="仿宋"/>
          <w:spacing w:val="8"/>
          <w:sz w:val="31"/>
          <w:szCs w:val="31"/>
        </w:rPr>
        <w:t>和结余，也</w:t>
      </w:r>
    </w:p>
    <w:p>
      <w:pPr>
        <w:spacing w:before="1" w:line="218" w:lineRule="auto"/>
        <w:ind w:left="1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包括事业收入、经营收入、其他收入的结转和结余。</w:t>
      </w:r>
    </w:p>
    <w:p>
      <w:pPr>
        <w:spacing w:before="257" w:line="624" w:lineRule="exact"/>
        <w:ind w:left="662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position w:val="23"/>
          <w:sz w:val="31"/>
          <w:szCs w:val="31"/>
        </w:rPr>
        <w:t>基本支出：指为保障机构正常运转、完成日常工作</w:t>
      </w:r>
      <w:r>
        <w:rPr>
          <w:rFonts w:ascii="仿宋" w:hAnsi="仿宋" w:eastAsia="仿宋" w:cs="仿宋"/>
          <w:spacing w:val="8"/>
          <w:position w:val="23"/>
          <w:sz w:val="31"/>
          <w:szCs w:val="31"/>
        </w:rPr>
        <w:t>任务</w:t>
      </w:r>
    </w:p>
    <w:p>
      <w:pPr>
        <w:spacing w:line="223" w:lineRule="auto"/>
        <w:ind w:left="46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而发生的人员支出和公用支出。</w:t>
      </w:r>
    </w:p>
    <w:p>
      <w:pPr>
        <w:spacing w:line="223" w:lineRule="auto"/>
        <w:rPr>
          <w:rFonts w:ascii="仿宋" w:hAnsi="仿宋" w:eastAsia="仿宋" w:cs="仿宋"/>
          <w:sz w:val="31"/>
          <w:szCs w:val="31"/>
        </w:rPr>
        <w:sectPr>
          <w:footerReference r:id="rId20" w:type="default"/>
          <w:pgSz w:w="11906" w:h="16839"/>
          <w:pgMar w:top="1431" w:right="1704" w:bottom="1156" w:left="1785" w:header="0" w:footer="994" w:gutter="0"/>
          <w:cols w:space="720" w:num="1"/>
        </w:sectPr>
      </w:pPr>
    </w:p>
    <w:p>
      <w:pPr>
        <w:spacing w:before="164" w:line="624" w:lineRule="exact"/>
        <w:ind w:left="67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项目支出：指在基本支出之外为完成特定行政任务和事</w:t>
      </w:r>
    </w:p>
    <w:p>
      <w:pPr>
        <w:spacing w:line="222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6"/>
          <w:sz w:val="31"/>
          <w:szCs w:val="31"/>
        </w:rPr>
        <w:t>业发展目标所发生的支出。</w:t>
      </w:r>
    </w:p>
    <w:p>
      <w:pPr>
        <w:spacing w:before="250" w:line="624" w:lineRule="exact"/>
        <w:ind w:left="67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经营支出：指事业单位在专业业务活动及其辅助活动之</w:t>
      </w:r>
    </w:p>
    <w:p>
      <w:pPr>
        <w:spacing w:before="1" w:line="221" w:lineRule="auto"/>
        <w:ind w:left="41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外开展非独立核算经营活动发生的支出。</w:t>
      </w:r>
    </w:p>
    <w:p>
      <w:pPr>
        <w:spacing w:before="251" w:line="624" w:lineRule="exact"/>
        <w:ind w:left="673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8"/>
          <w:position w:val="23"/>
          <w:sz w:val="31"/>
          <w:szCs w:val="31"/>
        </w:rPr>
        <w:t>对附属单位补助支出：指事业单位发生的用非财政预算</w:t>
      </w:r>
    </w:p>
    <w:p>
      <w:pPr>
        <w:spacing w:line="221" w:lineRule="auto"/>
        <w:ind w:left="40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7"/>
          <w:sz w:val="31"/>
          <w:szCs w:val="31"/>
        </w:rPr>
        <w:t>资金对附属单位的补助支出。</w:t>
      </w:r>
    </w:p>
    <w:p>
      <w:pPr>
        <w:spacing w:before="248" w:line="372" w:lineRule="auto"/>
        <w:ind w:left="25" w:firstLine="667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z w:val="31"/>
          <w:szCs w:val="31"/>
        </w:rPr>
        <w:t>“</w:t>
      </w:r>
      <w:r>
        <w:rPr>
          <w:rFonts w:ascii="仿宋" w:hAnsi="仿宋" w:eastAsia="仿宋" w:cs="仿宋"/>
          <w:spacing w:val="-119"/>
          <w:sz w:val="31"/>
          <w:szCs w:val="31"/>
        </w:rPr>
        <w:t xml:space="preserve"> </w:t>
      </w:r>
      <w:r>
        <w:rPr>
          <w:rFonts w:ascii="仿宋" w:hAnsi="仿宋" w:eastAsia="仿宋" w:cs="仿宋"/>
          <w:sz w:val="31"/>
          <w:szCs w:val="31"/>
        </w:rPr>
        <w:t>三公”经费：指用财政拨款安排的因公出</w:t>
      </w:r>
      <w:r>
        <w:rPr>
          <w:rFonts w:ascii="仿宋" w:hAnsi="仿宋" w:eastAsia="仿宋" w:cs="仿宋"/>
          <w:spacing w:val="-1"/>
          <w:sz w:val="31"/>
          <w:szCs w:val="31"/>
        </w:rPr>
        <w:t>国（境）费、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公务用车购置及运行费和公务接待费。其中，因公出</w:t>
      </w:r>
      <w:r>
        <w:rPr>
          <w:rFonts w:ascii="仿宋" w:hAnsi="仿宋" w:eastAsia="仿宋" w:cs="仿宋"/>
          <w:spacing w:val="2"/>
          <w:sz w:val="31"/>
          <w:szCs w:val="31"/>
        </w:rPr>
        <w:t>国（境）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3"/>
          <w:sz w:val="31"/>
          <w:szCs w:val="31"/>
        </w:rPr>
        <w:t>费反映单位公务出国（境）的国际旅费、国外城市间</w:t>
      </w:r>
      <w:r>
        <w:rPr>
          <w:rFonts w:ascii="仿宋" w:hAnsi="仿宋" w:eastAsia="仿宋" w:cs="仿宋"/>
          <w:spacing w:val="2"/>
          <w:sz w:val="31"/>
          <w:szCs w:val="31"/>
        </w:rPr>
        <w:t>交通费、</w:t>
      </w:r>
      <w:r>
        <w:rPr>
          <w:rFonts w:ascii="仿宋" w:hAnsi="仿宋" w:eastAsia="仿宋" w:cs="仿宋"/>
          <w:sz w:val="31"/>
          <w:szCs w:val="31"/>
        </w:rPr>
        <w:t xml:space="preserve"> </w:t>
      </w:r>
      <w:r>
        <w:rPr>
          <w:rFonts w:ascii="仿宋" w:hAnsi="仿宋" w:eastAsia="仿宋" w:cs="仿宋"/>
          <w:spacing w:val="9"/>
          <w:sz w:val="31"/>
          <w:szCs w:val="31"/>
        </w:rPr>
        <w:t>住宿费、伙食费、培训费、公杂费等支出；公务用车</w:t>
      </w:r>
      <w:r>
        <w:rPr>
          <w:rFonts w:ascii="仿宋" w:hAnsi="仿宋" w:eastAsia="仿宋" w:cs="仿宋"/>
          <w:spacing w:val="8"/>
          <w:sz w:val="31"/>
          <w:szCs w:val="31"/>
        </w:rPr>
        <w:t>购置费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8"/>
          <w:sz w:val="31"/>
          <w:szCs w:val="31"/>
        </w:rPr>
        <w:t>反映公务用车购置支出（含车辆购置税、牌照费</w:t>
      </w:r>
      <w:r>
        <w:rPr>
          <w:rFonts w:ascii="仿宋" w:hAnsi="仿宋" w:eastAsia="仿宋" w:cs="仿宋"/>
          <w:spacing w:val="21"/>
          <w:sz w:val="31"/>
          <w:szCs w:val="31"/>
        </w:rPr>
        <w:t>）；</w:t>
      </w:r>
      <w:r>
        <w:rPr>
          <w:rFonts w:ascii="仿宋" w:hAnsi="仿宋" w:eastAsia="仿宋" w:cs="仿宋"/>
          <w:spacing w:val="8"/>
          <w:sz w:val="31"/>
          <w:szCs w:val="31"/>
        </w:rPr>
        <w:t>公务用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车运行维护费反映单位按规定保留的公务用车燃料费</w:t>
      </w:r>
      <w:r>
        <w:rPr>
          <w:rFonts w:ascii="仿宋" w:hAnsi="仿宋" w:eastAsia="仿宋" w:cs="仿宋"/>
          <w:spacing w:val="8"/>
          <w:sz w:val="31"/>
          <w:szCs w:val="31"/>
        </w:rPr>
        <w:t>、维修</w:t>
      </w:r>
      <w:r>
        <w:rPr>
          <w:rFonts w:ascii="仿宋" w:hAnsi="仿宋" w:eastAsia="仿宋" w:cs="仿宋"/>
          <w:sz w:val="31"/>
          <w:szCs w:val="31"/>
        </w:rPr>
        <w:t xml:space="preserve">  </w:t>
      </w:r>
      <w:r>
        <w:rPr>
          <w:rFonts w:ascii="仿宋" w:hAnsi="仿宋" w:eastAsia="仿宋" w:cs="仿宋"/>
          <w:spacing w:val="9"/>
          <w:sz w:val="31"/>
          <w:szCs w:val="31"/>
        </w:rPr>
        <w:t>费、过路过桥费、保险费、安全奖励费用等支出；公</w:t>
      </w:r>
      <w:r>
        <w:rPr>
          <w:rFonts w:ascii="仿宋" w:hAnsi="仿宋" w:eastAsia="仿宋" w:cs="仿宋"/>
          <w:spacing w:val="8"/>
          <w:sz w:val="31"/>
          <w:szCs w:val="31"/>
        </w:rPr>
        <w:t>务接待</w:t>
      </w:r>
    </w:p>
    <w:p>
      <w:pPr>
        <w:spacing w:line="221" w:lineRule="auto"/>
        <w:ind w:right="7"/>
        <w:jc w:val="right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2"/>
          <w:sz w:val="31"/>
          <w:szCs w:val="31"/>
        </w:rPr>
        <w:t>费反映单位按规定开支的各类公务接待（含外宾</w:t>
      </w:r>
      <w:r>
        <w:rPr>
          <w:rFonts w:ascii="仿宋" w:hAnsi="仿宋" w:eastAsia="仿宋" w:cs="仿宋"/>
          <w:spacing w:val="1"/>
          <w:sz w:val="31"/>
          <w:szCs w:val="31"/>
        </w:rPr>
        <w:t>接待）费用。</w:t>
      </w:r>
    </w:p>
    <w:p>
      <w:pPr>
        <w:spacing w:before="253" w:line="221" w:lineRule="auto"/>
        <w:ind w:left="664"/>
        <w:rPr>
          <w:rFonts w:ascii="仿宋" w:hAnsi="仿宋" w:eastAsia="仿宋" w:cs="仿宋"/>
          <w:sz w:val="31"/>
          <w:szCs w:val="31"/>
        </w:rPr>
      </w:pPr>
      <w:r>
        <w:rPr>
          <w:rFonts w:ascii="仿宋" w:hAnsi="仿宋" w:eastAsia="仿宋" w:cs="仿宋"/>
          <w:spacing w:val="9"/>
          <w:sz w:val="31"/>
          <w:szCs w:val="31"/>
        </w:rPr>
        <w:t>机关运行经费：行政单位和参照公务员法管</w:t>
      </w:r>
      <w:r>
        <w:rPr>
          <w:rFonts w:ascii="仿宋" w:hAnsi="仿宋" w:eastAsia="仿宋" w:cs="仿宋"/>
          <w:spacing w:val="8"/>
          <w:sz w:val="31"/>
          <w:szCs w:val="31"/>
        </w:rPr>
        <w:t>理的事业单</w:t>
      </w:r>
    </w:p>
    <w:p>
      <w:pPr>
        <w:spacing w:before="253" w:line="222" w:lineRule="auto"/>
        <w:ind w:left="21"/>
        <w:outlineLvl w:val="0"/>
        <w:rPr>
          <w:rFonts w:ascii="仿宋" w:hAnsi="仿宋" w:eastAsia="仿宋" w:cs="仿宋"/>
          <w:sz w:val="31"/>
          <w:szCs w:val="31"/>
        </w:rPr>
      </w:pPr>
      <w:bookmarkStart w:id="15" w:name="bookmark17"/>
      <w:bookmarkEnd w:id="15"/>
      <w:r>
        <w:rPr>
          <w:rFonts w:ascii="仿宋" w:hAnsi="仿宋" w:eastAsia="仿宋" w:cs="仿宋"/>
          <w:spacing w:val="8"/>
          <w:sz w:val="31"/>
          <w:szCs w:val="31"/>
        </w:rPr>
        <w:t>位财政拨款基本支出中的公用经费支出。</w:t>
      </w:r>
    </w:p>
    <w:p>
      <w:pPr>
        <w:spacing w:line="222" w:lineRule="auto"/>
        <w:rPr>
          <w:rFonts w:ascii="仿宋" w:hAnsi="仿宋" w:eastAsia="仿宋" w:cs="仿宋"/>
          <w:sz w:val="31"/>
          <w:szCs w:val="31"/>
        </w:rPr>
        <w:sectPr>
          <w:footerReference r:id="rId21" w:type="default"/>
          <w:pgSz w:w="11906" w:h="16839"/>
          <w:pgMar w:top="1431" w:right="1645" w:bottom="1156" w:left="1785" w:header="0" w:footer="994" w:gutter="0"/>
          <w:cols w:space="720" w:num="1"/>
        </w:sectPr>
      </w:pPr>
    </w:p>
    <w:p>
      <w:pPr>
        <w:spacing w:before="163" w:line="226" w:lineRule="auto"/>
        <w:ind w:left="2018"/>
        <w:rPr>
          <w:rFonts w:ascii="黑体" w:hAnsi="黑体" w:eastAsia="黑体" w:cs="黑体"/>
          <w:sz w:val="31"/>
          <w:szCs w:val="31"/>
        </w:rPr>
      </w:pPr>
      <w:bookmarkStart w:id="16" w:name="bookmark18"/>
      <w:bookmarkEnd w:id="16"/>
      <w:r>
        <w:rPr>
          <w:rFonts w:ascii="黑体" w:hAnsi="黑体" w:eastAsia="黑体" w:cs="黑体"/>
          <w:spacing w:val="8"/>
          <w:sz w:val="31"/>
          <w:szCs w:val="31"/>
        </w:rPr>
        <w:t>第四部分 部门决算报表（见附表）</w:t>
      </w:r>
    </w:p>
    <w:p>
      <w:pPr>
        <w:spacing w:before="244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一、《收入支出决算总表》</w:t>
      </w:r>
    </w:p>
    <w:p>
      <w:pPr>
        <w:spacing w:before="242" w:line="227" w:lineRule="auto"/>
        <w:ind w:left="672"/>
        <w:outlineLvl w:val="1"/>
        <w:rPr>
          <w:rFonts w:ascii="黑体" w:hAnsi="黑体" w:eastAsia="黑体" w:cs="黑体"/>
          <w:sz w:val="31"/>
          <w:szCs w:val="31"/>
        </w:rPr>
      </w:pPr>
      <w:bookmarkStart w:id="17" w:name="bookmark20"/>
      <w:bookmarkEnd w:id="17"/>
      <w:bookmarkStart w:id="18" w:name="bookmark19"/>
      <w:bookmarkEnd w:id="18"/>
      <w:r>
        <w:rPr>
          <w:rFonts w:ascii="黑体" w:hAnsi="黑体" w:eastAsia="黑体" w:cs="黑体"/>
          <w:spacing w:val="7"/>
          <w:sz w:val="31"/>
          <w:szCs w:val="31"/>
        </w:rPr>
        <w:t>二、《收入决算表》</w:t>
      </w:r>
    </w:p>
    <w:p>
      <w:pPr>
        <w:spacing w:before="242" w:line="227" w:lineRule="auto"/>
        <w:ind w:left="673"/>
        <w:outlineLvl w:val="1"/>
        <w:rPr>
          <w:rFonts w:ascii="黑体" w:hAnsi="黑体" w:eastAsia="黑体" w:cs="黑体"/>
          <w:sz w:val="31"/>
          <w:szCs w:val="31"/>
        </w:rPr>
      </w:pPr>
      <w:bookmarkStart w:id="19" w:name="bookmark21"/>
      <w:bookmarkEnd w:id="19"/>
      <w:r>
        <w:rPr>
          <w:rFonts w:ascii="黑体" w:hAnsi="黑体" w:eastAsia="黑体" w:cs="黑体"/>
          <w:spacing w:val="7"/>
          <w:sz w:val="31"/>
          <w:szCs w:val="31"/>
        </w:rPr>
        <w:t>三、《支出决算表》</w:t>
      </w:r>
    </w:p>
    <w:p>
      <w:pPr>
        <w:spacing w:before="242" w:line="227" w:lineRule="auto"/>
        <w:ind w:left="686"/>
        <w:outlineLvl w:val="1"/>
        <w:rPr>
          <w:rFonts w:ascii="黑体" w:hAnsi="黑体" w:eastAsia="黑体" w:cs="黑体"/>
          <w:sz w:val="31"/>
          <w:szCs w:val="31"/>
        </w:rPr>
      </w:pPr>
      <w:bookmarkStart w:id="20" w:name="bookmark22"/>
      <w:bookmarkEnd w:id="20"/>
      <w:r>
        <w:rPr>
          <w:rFonts w:ascii="黑体" w:hAnsi="黑体" w:eastAsia="黑体" w:cs="黑体"/>
          <w:spacing w:val="7"/>
          <w:sz w:val="31"/>
          <w:szCs w:val="31"/>
        </w:rPr>
        <w:t>四、《财政拨款收入支出决算总表》</w:t>
      </w:r>
    </w:p>
    <w:p>
      <w:pPr>
        <w:spacing w:before="244" w:line="226" w:lineRule="auto"/>
        <w:ind w:left="675"/>
        <w:outlineLvl w:val="1"/>
        <w:rPr>
          <w:rFonts w:ascii="黑体" w:hAnsi="黑体" w:eastAsia="黑体" w:cs="黑体"/>
          <w:sz w:val="31"/>
          <w:szCs w:val="31"/>
        </w:rPr>
      </w:pPr>
      <w:bookmarkStart w:id="21" w:name="bookmark23"/>
      <w:bookmarkEnd w:id="21"/>
      <w:r>
        <w:rPr>
          <w:rFonts w:ascii="黑体" w:hAnsi="黑体" w:eastAsia="黑体" w:cs="黑体"/>
          <w:spacing w:val="8"/>
          <w:sz w:val="31"/>
          <w:szCs w:val="31"/>
        </w:rPr>
        <w:t>五、《一般公共预算财政拨款支出决算表》</w:t>
      </w:r>
    </w:p>
    <w:p>
      <w:pPr>
        <w:spacing w:before="244" w:line="226" w:lineRule="auto"/>
        <w:ind w:left="67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六、《一般公共预算财政拨款基本支出决算表》</w:t>
      </w:r>
    </w:p>
    <w:p>
      <w:pPr>
        <w:spacing w:before="244" w:line="227" w:lineRule="auto"/>
        <w:ind w:left="666"/>
        <w:outlineLvl w:val="1"/>
        <w:rPr>
          <w:rFonts w:ascii="黑体" w:hAnsi="黑体" w:eastAsia="黑体" w:cs="黑体"/>
          <w:sz w:val="31"/>
          <w:szCs w:val="31"/>
        </w:rPr>
      </w:pPr>
      <w:bookmarkStart w:id="22" w:name="bookmark25"/>
      <w:bookmarkEnd w:id="22"/>
      <w:bookmarkStart w:id="23" w:name="bookmark24"/>
      <w:bookmarkEnd w:id="23"/>
      <w:r>
        <w:rPr>
          <w:rFonts w:ascii="黑体" w:hAnsi="黑体" w:eastAsia="黑体" w:cs="黑体"/>
          <w:spacing w:val="8"/>
          <w:sz w:val="31"/>
          <w:szCs w:val="31"/>
        </w:rPr>
        <w:t>七、《财政拨款“三公”经费支出决算表》</w:t>
      </w:r>
    </w:p>
    <w:p>
      <w:pPr>
        <w:spacing w:before="243" w:line="227" w:lineRule="auto"/>
        <w:ind w:left="667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9"/>
          <w:sz w:val="31"/>
          <w:szCs w:val="31"/>
        </w:rPr>
        <w:t>八、《政府性基金预算财政拨款收入支出决算表》</w:t>
      </w:r>
    </w:p>
    <w:p>
      <w:pPr>
        <w:spacing w:before="243" w:line="227" w:lineRule="auto"/>
        <w:ind w:left="674"/>
        <w:outlineLvl w:val="1"/>
        <w:rPr>
          <w:rFonts w:ascii="黑体" w:hAnsi="黑体" w:eastAsia="黑体" w:cs="黑体"/>
          <w:sz w:val="31"/>
          <w:szCs w:val="31"/>
        </w:rPr>
      </w:pPr>
      <w:r>
        <w:rPr>
          <w:rFonts w:ascii="黑体" w:hAnsi="黑体" w:eastAsia="黑体" w:cs="黑体"/>
          <w:spacing w:val="8"/>
          <w:sz w:val="31"/>
          <w:szCs w:val="31"/>
        </w:rPr>
        <w:t>九、《国有资本经营预算财政拨款收入支出决算表》</w:t>
      </w:r>
    </w:p>
    <w:sectPr>
      <w:footerReference r:id="rId22" w:type="default"/>
      <w:pgSz w:w="11906" w:h="16839"/>
      <w:pgMar w:top="1431" w:right="1785" w:bottom="1156" w:left="1785" w:header="0" w:footer="994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4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1</w:t>
    </w:r>
  </w:p>
</w:ftr>
</file>

<file path=word/footer10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0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1"/>
        <w:sz w:val="18"/>
        <w:szCs w:val="18"/>
      </w:rPr>
      <w:t>11</w:t>
    </w:r>
  </w:p>
</w:ftr>
</file>

<file path=word/footer1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12</w:t>
    </w:r>
  </w:p>
</w:ftr>
</file>

<file path=word/footer1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13</w:t>
    </w:r>
  </w:p>
</w:ftr>
</file>

<file path=word/footer1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14</w:t>
    </w:r>
  </w:p>
</w:ftr>
</file>

<file path=word/footer1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15</w:t>
    </w:r>
  </w:p>
</w:ftr>
</file>

<file path=word/footer1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16</w:t>
    </w:r>
  </w:p>
</w:ftr>
</file>

<file path=word/footer1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18</w:t>
    </w:r>
  </w:p>
</w:ftr>
</file>

<file path=word/footer1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19</w:t>
    </w:r>
  </w:p>
</w:ftr>
</file>

<file path=word/footer1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20</w:t>
    </w:r>
  </w:p>
</w:ftr>
</file>

<file path=word/footer1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8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2"/>
        <w:sz w:val="18"/>
        <w:szCs w:val="18"/>
      </w:rPr>
      <w:t>21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26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2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3</w:t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25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4</w: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3" w:lineRule="auto"/>
      <w:ind w:left="4131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5</w:t>
    </w:r>
  </w:p>
</w:ftr>
</file>

<file path=word/footer6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3" w:lineRule="auto"/>
      <w:ind w:left="4227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7</w:t>
    </w:r>
  </w:p>
</w:ftr>
</file>

<file path=word/footer7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33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8</w:t>
    </w:r>
  </w:p>
</w:ftr>
</file>

<file path=word/footer8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130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z w:val="18"/>
        <w:szCs w:val="18"/>
      </w:rPr>
      <w:t>9</w:t>
    </w:r>
  </w:p>
</w:ftr>
</file>

<file path=word/footer9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>
    <w:pPr>
      <w:spacing w:line="176" w:lineRule="auto"/>
      <w:ind w:left="4098"/>
      <w:rPr>
        <w:rFonts w:ascii="Times New Roman" w:hAnsi="Times New Roman" w:eastAsia="Times New Roman" w:cs="Times New Roman"/>
        <w:sz w:val="18"/>
        <w:szCs w:val="18"/>
      </w:rPr>
    </w:pPr>
    <w:r>
      <w:rPr>
        <w:rFonts w:ascii="Times New Roman" w:hAnsi="Times New Roman" w:eastAsia="Times New Roman" w:cs="Times New Roman"/>
        <w:spacing w:val="-10"/>
        <w:sz w:val="18"/>
        <w:szCs w:val="18"/>
      </w:rPr>
      <w:t>10</w: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 w:val="1"/>
  <w:bordersDoNotSurroundHeader w:val="1"/>
  <w:bordersDoNotSurroundFooter w:val="1"/>
  <w:documentProtection w:enforcement="0"/>
  <w:defaultTabStop w:val="420"/>
  <w:displayHorizontalDrawingGridEvery w:val="1"/>
  <w:displayVerticalDrawingGridEvery w:val="1"/>
  <w:characterSpacingControl w:val="doNotCompress"/>
  <w:compat>
    <w:spaceForUL/>
    <w:doNotLeaveBackslashAlone/>
    <w:ulTrailSpace/>
    <w:useFELayout/>
    <w:useNormalStyleForList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rsids>
    <w:rsidRoot w:val="00172A27"/>
    <w:rsid w:val="02126B08"/>
    <w:rsid w:val="1BEE7EDE"/>
    <w:rsid w:val="40711049"/>
    <w:rsid w:val="41B71360"/>
    <w:rsid w:val="432A59BE"/>
    <w:rsid w:val="55A20945"/>
    <w:rsid w:val="57906A87"/>
    <w:rsid w:val="58DB490F"/>
    <w:rsid w:val="5C65195E"/>
    <w:rsid w:val="715E6F0F"/>
    <w:rsid w:val="7DDB269B"/>
  </w:rsids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  <w:lang w:val="en-US" w:eastAsia="zh-CN" w:bidi="ar-SA"/>
      </w:rPr>
    </w:rPrDefault>
  </w:docDefaults>
  <w:latentStyles w:count="260" w:defQFormat="0" w:defUnhideWhenUsed="1" w:defSemiHidden="1" w:defUIPriority="99" w:defLockedState="0">
    <w:lsdException w:qFormat="1" w:unhideWhenUsed="0" w:uiPriority="0" w:name="Normal"/>
    <w:lsdException w:uiPriority="99" w:name="heading 1"/>
    <w:lsdException w:uiPriority="99" w:name="heading 2"/>
    <w:lsdException w:uiPriority="99" w:name="heading 3"/>
    <w:lsdException w:uiPriority="99" w:name="heading 4"/>
    <w:lsdException w:uiPriority="99" w:name="heading 5"/>
    <w:lsdException w:uiPriority="99" w:name="heading 6"/>
    <w:lsdException w:uiPriority="99" w:name="heading 7"/>
    <w:lsdException w:uiPriority="99" w:name="heading 8"/>
    <w:lsdException w:uiPriority="9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99" w:name="toc 1"/>
    <w:lsdException w:uiPriority="99" w:name="toc 2"/>
    <w:lsdException w:uiPriority="99" w:name="toc 3"/>
    <w:lsdException w:uiPriority="99" w:name="toc 4"/>
    <w:lsdException w:uiPriority="99" w:name="toc 5"/>
    <w:lsdException w:uiPriority="99" w:name="toc 6"/>
    <w:lsdException w:uiPriority="99" w:name="toc 7"/>
    <w:lsdException w:uiPriority="99" w:name="toc 8"/>
    <w:lsdException w:uiPriority="9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uiPriority="99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uiPriority="99" w:name="Title"/>
    <w:lsdException w:uiPriority="99" w:name="Closing"/>
    <w:lsdException w:uiPriority="99" w:name="Signature"/>
    <w:lsdException w:qFormat="1" w:uiPriority="99" w:semiHidden="0" w:name="Default Paragraph Font"/>
    <w:lsdException w:qFormat="1" w:unhideWhenUsed="0" w:uiPriority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uiPriority="99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uiPriority="99" w:name="Strong"/>
    <w:lsdException w:uiPriority="99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9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semiHidden/>
    <w:qFormat/>
    <w:uiPriority w:val="0"/>
    <w:pPr>
      <w:kinsoku w:val="0"/>
      <w:autoSpaceDE w:val="0"/>
      <w:autoSpaceDN w:val="0"/>
      <w:adjustRightInd w:val="0"/>
      <w:snapToGrid w:val="0"/>
      <w:spacing w:line="240" w:lineRule="auto"/>
      <w:jc w:val="left"/>
      <w:textAlignment w:val="baseline"/>
    </w:pPr>
    <w:rPr>
      <w:rFonts w:ascii="Arial" w:hAnsi="Arial" w:eastAsia="Arial" w:cs="Arial"/>
      <w:snapToGrid w:val="0"/>
      <w:color w:val="000000"/>
      <w:kern w:val="0"/>
      <w:sz w:val="21"/>
      <w:szCs w:val="21"/>
      <w:lang w:val="en-US" w:eastAsia="en-US" w:bidi="ar-SA"/>
    </w:rPr>
  </w:style>
  <w:style w:type="character" w:default="1" w:styleId="3">
    <w:name w:val="Default Paragraph Font"/>
    <w:unhideWhenUsed/>
    <w:qFormat/>
    <w:uiPriority w:val="99"/>
  </w:style>
  <w:style w:type="table" w:default="1" w:styleId="4">
    <w:name w:val="Normal Table"/>
    <w:unhideWhenUsed/>
    <w:uiPriority w:val="99"/>
    <w:tblPr>
      <w:tblStyle w:val="4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extDirection w:val="lrTb"/>
    </w:tcPr>
  </w:style>
  <w:style w:type="paragraph" w:styleId="2">
    <w:name w:val="Body Text"/>
    <w:basedOn w:val="1"/>
    <w:semiHidden/>
    <w:qFormat/>
    <w:uiPriority w:val="0"/>
    <w:rPr>
      <w:rFonts w:ascii="Arial" w:hAnsi="Arial" w:eastAsia="Arial" w:cs="Arial"/>
      <w:sz w:val="21"/>
      <w:szCs w:val="21"/>
      <w:lang w:val="en-US" w:eastAsia="en-US" w:bidi="ar-SA"/>
    </w:rPr>
  </w:style>
  <w:style w:type="table" w:customStyle="1" w:styleId="5">
    <w:name w:val="Table Normal"/>
    <w:unhideWhenUsed/>
    <w:qFormat/>
    <w:uiPriority w:val="0"/>
    <w:tblPr>
      <w:tblStyle w:val="4"/>
      <w:tblLayout w:type="fixed"/>
      <w:tblCellMar>
        <w:top w:w="0" w:type="dxa"/>
        <w:left w:w="0" w:type="dxa"/>
        <w:bottom w:w="0" w:type="dxa"/>
        <w:right w:w="0" w:type="dxa"/>
      </w:tblCellMar>
    </w:tblPr>
    <w:tcPr>
      <w:textDirection w:val="lrTb"/>
    </w:tc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oter" Target="footer6.xml"/><Relationship Id="rId8" Type="http://schemas.openxmlformats.org/officeDocument/2006/relationships/footer" Target="footer5.xml"/><Relationship Id="rId7" Type="http://schemas.openxmlformats.org/officeDocument/2006/relationships/footer" Target="footer4.xml"/><Relationship Id="rId6" Type="http://schemas.openxmlformats.org/officeDocument/2006/relationships/footer" Target="footer3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settings" Target="settings.xml"/><Relationship Id="rId24" Type="http://schemas.openxmlformats.org/officeDocument/2006/relationships/customXml" Target="../customXml/item1.xml"/><Relationship Id="rId23" Type="http://schemas.openxmlformats.org/officeDocument/2006/relationships/theme" Target="theme/theme1.xml"/><Relationship Id="rId22" Type="http://schemas.openxmlformats.org/officeDocument/2006/relationships/footer" Target="footer19.xml"/><Relationship Id="rId21" Type="http://schemas.openxmlformats.org/officeDocument/2006/relationships/footer" Target="footer18.xml"/><Relationship Id="rId20" Type="http://schemas.openxmlformats.org/officeDocument/2006/relationships/footer" Target="footer17.xml"/><Relationship Id="rId2" Type="http://schemas.openxmlformats.org/officeDocument/2006/relationships/styles" Target="styles.xml"/><Relationship Id="rId19" Type="http://schemas.openxmlformats.org/officeDocument/2006/relationships/footer" Target="footer16.xml"/><Relationship Id="rId18" Type="http://schemas.openxmlformats.org/officeDocument/2006/relationships/footer" Target="footer15.xml"/><Relationship Id="rId17" Type="http://schemas.openxmlformats.org/officeDocument/2006/relationships/footer" Target="footer14.xml"/><Relationship Id="rId16" Type="http://schemas.openxmlformats.org/officeDocument/2006/relationships/footer" Target="footer13.xml"/><Relationship Id="rId15" Type="http://schemas.openxmlformats.org/officeDocument/2006/relationships/footer" Target="footer12.xml"/><Relationship Id="rId14" Type="http://schemas.openxmlformats.org/officeDocument/2006/relationships/footer" Target="footer11.xml"/><Relationship Id="rId13" Type="http://schemas.openxmlformats.org/officeDocument/2006/relationships/footer" Target="footer10.xml"/><Relationship Id="rId12" Type="http://schemas.openxmlformats.org/officeDocument/2006/relationships/footer" Target="footer9.xml"/><Relationship Id="rId11" Type="http://schemas.openxmlformats.org/officeDocument/2006/relationships/footer" Target="footer8.xml"/><Relationship Id="rId10" Type="http://schemas.openxmlformats.org/officeDocument/2006/relationships/footer" Target="footer7.xml"/><Relationship Id="rId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0</TotalTime>
  <ScaleCrop>false</ScaleCrop>
  <LinksUpToDate>false</LinksUpToDate>
  <CharactersWithSpaces>0</CharactersWithSpaces>
  <Application>WPS Office 专业版_9.1.0.4940_F1E327BC-269C-435d-A152-05C5408002CA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2023-08-24T14:31:00Z</dcterms:created>
  <dc:creator>GXR</dc:creator>
  <cp:lastModifiedBy>李赫</cp:lastModifiedBy>
  <dcterms:modified xsi:type="dcterms:W3CDTF">2024-01-12T12:56:22Z</dcterms:modified>
  <dc:title>新疆维吾尔自治区人民代表大会常务委员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2023-12-21T19:23:00Z</vt:filetime>
  </property>
  <property fmtid="{D5CDD505-2E9C-101B-9397-08002B2CF9AE}" pid="4" name="KSOProductBuildVer">
    <vt:lpwstr>2052-9.1.0.4940</vt:lpwstr>
  </property>
  <property fmtid="{D5CDD505-2E9C-101B-9397-08002B2CF9AE}" pid="5" name="ICV">
    <vt:lpwstr>EFED6E27FD3A4F2691E19ACDC2594BB6</vt:lpwstr>
  </property>
</Properties>
</file>